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72" w:hanging="672" w:hangingChars="200"/>
        <w:rPr>
          <w:rFonts w:ascii="黑体" w:hAnsi="黑体" w:eastAsia="黑体" w:cs="仿宋"/>
          <w:color w:val="333333"/>
          <w:spacing w:val="8"/>
          <w:sz w:val="32"/>
          <w:szCs w:val="32"/>
          <w:shd w:val="clear" w:color="auto" w:fill="FFFFFF"/>
        </w:rPr>
      </w:pPr>
      <w:bookmarkStart w:id="0" w:name="_Toc2767"/>
      <w:r>
        <w:rPr>
          <w:rFonts w:hint="eastAsia" w:ascii="黑体" w:hAnsi="黑体" w:eastAsia="黑体" w:cs="仿宋"/>
          <w:color w:val="333333"/>
          <w:spacing w:val="8"/>
          <w:sz w:val="32"/>
          <w:szCs w:val="32"/>
          <w:shd w:val="clear" w:color="auto" w:fill="FFFFFF"/>
        </w:rPr>
        <w:t>附件</w:t>
      </w:r>
      <w:bookmarkEnd w:id="0"/>
      <w:r>
        <w:rPr>
          <w:rFonts w:hint="eastAsia" w:ascii="黑体" w:hAnsi="黑体" w:eastAsia="黑体" w:cs="仿宋"/>
          <w:color w:val="333333"/>
          <w:spacing w:val="8"/>
          <w:sz w:val="32"/>
          <w:szCs w:val="32"/>
          <w:shd w:val="clear" w:color="auto" w:fill="FFFFFF"/>
        </w:rPr>
        <w:t>2</w:t>
      </w:r>
    </w:p>
    <w:p>
      <w:pPr>
        <w:spacing w:line="52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中关村智能电力产业技术联盟</w:t>
      </w:r>
      <w:bookmarkStart w:id="1" w:name="_Toc25759"/>
      <w:r>
        <w:rPr>
          <w:rFonts w:hint="eastAsia" w:ascii="方正小标宋简体" w:hAnsi="华文中宋" w:eastAsia="方正小标宋简体"/>
          <w:sz w:val="36"/>
          <w:szCs w:val="36"/>
        </w:rPr>
        <w:t>标准化工作委员会</w:t>
      </w:r>
    </w:p>
    <w:p>
      <w:pPr>
        <w:spacing w:after="156" w:afterLines="50" w:line="52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管理办法</w:t>
      </w:r>
      <w:bookmarkEnd w:id="1"/>
    </w:p>
    <w:p>
      <w:pPr>
        <w:widowControl/>
        <w:spacing w:line="510" w:lineRule="exact"/>
        <w:jc w:val="center"/>
        <w:rPr>
          <w:rFonts w:ascii="黑体" w:hAnsi="黑体" w:eastAsia="黑体"/>
          <w:sz w:val="24"/>
          <w:szCs w:val="24"/>
        </w:rPr>
      </w:pPr>
      <w:r>
        <w:rPr>
          <w:rFonts w:ascii="黑体" w:hAnsi="黑体" w:eastAsia="黑体" w:cs="黑体"/>
          <w:color w:val="000000"/>
          <w:kern w:val="0"/>
          <w:sz w:val="24"/>
          <w:szCs w:val="24"/>
          <w:lang w:bidi="ar"/>
        </w:rPr>
        <w:t>第一章 总 则</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第一条</w:t>
      </w:r>
      <w:r>
        <w:rPr>
          <w:rFonts w:hint="eastAsia" w:ascii="仿宋" w:hAnsi="仿宋" w:eastAsia="仿宋" w:cs="仿宋_GB2312"/>
          <w:color w:val="000000"/>
          <w:kern w:val="0"/>
          <w:sz w:val="24"/>
          <w:szCs w:val="24"/>
          <w:lang w:bidi="ar"/>
        </w:rPr>
        <w:t xml:space="preserve"> 为加强和规范中关村智能电力产业技术联盟</w:t>
      </w:r>
      <w:r>
        <w:rPr>
          <w:rFonts w:hint="eastAsia" w:ascii="仿宋" w:hAnsi="仿宋" w:eastAsia="仿宋" w:cs="仿宋_GB2312"/>
          <w:sz w:val="24"/>
          <w:szCs w:val="24"/>
        </w:rPr>
        <w:t>（以下简称“联盟”）</w:t>
      </w:r>
      <w:r>
        <w:rPr>
          <w:rFonts w:hint="eastAsia" w:ascii="仿宋" w:hAnsi="仿宋" w:eastAsia="仿宋" w:cs="仿宋_GB2312"/>
          <w:color w:val="000000"/>
          <w:kern w:val="0"/>
          <w:sz w:val="24"/>
          <w:szCs w:val="24"/>
          <w:lang w:bidi="ar"/>
        </w:rPr>
        <w:t>标准化工作，</w:t>
      </w:r>
      <w:r>
        <w:rPr>
          <w:rFonts w:hint="eastAsia" w:ascii="仿宋" w:hAnsi="仿宋" w:eastAsia="仿宋" w:cs="仿宋_GB2312"/>
          <w:color w:val="333333"/>
          <w:kern w:val="0"/>
          <w:sz w:val="24"/>
          <w:szCs w:val="24"/>
          <w:shd w:val="clear" w:color="auto" w:fill="FFFFFF"/>
          <w:lang w:bidi="ar"/>
        </w:rPr>
        <w:t>依照《中华人民共和国标准化法》、《中关村智能电力产业技术联盟分支机构管理办法》等有关规定</w:t>
      </w:r>
      <w:r>
        <w:rPr>
          <w:rFonts w:hint="eastAsia" w:ascii="仿宋" w:hAnsi="仿宋" w:eastAsia="仿宋" w:cs="仿宋_GB2312"/>
          <w:color w:val="000000"/>
          <w:kern w:val="0"/>
          <w:sz w:val="24"/>
          <w:szCs w:val="24"/>
          <w:lang w:bidi="ar"/>
        </w:rPr>
        <w:t>，制定本管理办法。</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第二条</w:t>
      </w:r>
      <w:r>
        <w:rPr>
          <w:rFonts w:hint="eastAsia" w:ascii="仿宋" w:hAnsi="仿宋" w:eastAsia="仿宋" w:cs="仿宋_GB2312"/>
          <w:color w:val="000000"/>
          <w:kern w:val="0"/>
          <w:sz w:val="24"/>
          <w:szCs w:val="24"/>
          <w:lang w:bidi="ar"/>
        </w:rPr>
        <w:t xml:space="preserve"> 为有效发挥智能电力及相关领域专家在智能电力标准化工作中的技术引领和辅助决策作用，促进智能电力标准化事业的科学发展，设立联盟标准化工作委员会（以下简称“标委会”）。</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第三条</w:t>
      </w:r>
      <w:r>
        <w:rPr>
          <w:rFonts w:hint="eastAsia" w:ascii="仿宋" w:hAnsi="仿宋" w:eastAsia="仿宋" w:cs="仿宋_GB2312"/>
          <w:color w:val="000000"/>
          <w:kern w:val="0"/>
          <w:sz w:val="24"/>
          <w:szCs w:val="24"/>
          <w:lang w:bidi="ar"/>
        </w:rPr>
        <w:t xml:space="preserve"> 标委会是联盟领导下的技术咨询性工作机构。</w:t>
      </w:r>
    </w:p>
    <w:p>
      <w:pPr>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第四条</w:t>
      </w:r>
      <w:r>
        <w:rPr>
          <w:rFonts w:hint="eastAsia" w:ascii="仿宋" w:hAnsi="仿宋" w:eastAsia="仿宋" w:cs="仿宋_GB2312"/>
          <w:color w:val="000000"/>
          <w:kern w:val="0"/>
          <w:sz w:val="24"/>
          <w:szCs w:val="24"/>
          <w:lang w:bidi="ar"/>
        </w:rPr>
        <w:t xml:space="preserve"> 标委会的宗旨是顺应智能电力技术发展需要和智能电力产业发展需求，服务于从事智能电力领域技术研究、生产制造、实际应用、运维保障、检测、监控、管理、评价评估、培训教育等各类实体，依法依规开展标准化工作，推动智能电力标准体系化、规范化、科学化建设。</w:t>
      </w:r>
    </w:p>
    <w:p>
      <w:pPr>
        <w:widowControl/>
        <w:spacing w:line="510" w:lineRule="exact"/>
        <w:jc w:val="center"/>
        <w:rPr>
          <w:rFonts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第二章 职责与组织</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第五条</w:t>
      </w:r>
      <w:r>
        <w:rPr>
          <w:rFonts w:hint="eastAsia" w:ascii="仿宋" w:hAnsi="仿宋" w:eastAsia="仿宋" w:cs="仿宋_GB2312"/>
          <w:color w:val="000000"/>
          <w:kern w:val="0"/>
          <w:sz w:val="24"/>
          <w:szCs w:val="24"/>
          <w:lang w:bidi="ar"/>
        </w:rPr>
        <w:t xml:space="preserve"> 标委会的主要职责：</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（一）研究制定联盟智能电力领域标准化工作的发展战略、发展规划、标准体系等；</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（二）对事关联盟科学发展的重要项目、重点工作等提出指导性、建设性意见；</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（三）组织专家参与联盟智能电力领域团体标准制修订的立项审查、标准编制、审查和复审工作；</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（四）接受委托对各类实体编制的相关标准提供技术指导和专家咨询；</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（五）对相关标准化活动进行评估，提出评估报告；</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（六）联盟部署的相关工作事项。</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第六条</w:t>
      </w:r>
      <w:r>
        <w:rPr>
          <w:rFonts w:hint="eastAsia" w:ascii="仿宋" w:hAnsi="仿宋" w:eastAsia="仿宋" w:cs="仿宋_GB2312"/>
          <w:b/>
          <w:color w:val="000000"/>
          <w:kern w:val="0"/>
          <w:sz w:val="24"/>
          <w:szCs w:val="24"/>
          <w:lang w:bidi="ar"/>
        </w:rPr>
        <w:t xml:space="preserve"> </w:t>
      </w:r>
      <w:r>
        <w:rPr>
          <w:rFonts w:hint="eastAsia" w:ascii="仿宋" w:hAnsi="仿宋" w:eastAsia="仿宋" w:cs="仿宋_GB2312"/>
          <w:color w:val="000000"/>
          <w:kern w:val="0"/>
          <w:sz w:val="24"/>
          <w:szCs w:val="24"/>
          <w:lang w:bidi="ar"/>
        </w:rPr>
        <w:t>标委会委员应符合以下条件：</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（一）熟悉国家标准化、智能电力工作和智能电力产业政策，了解和掌握本领域技术发展方向和动态，在相关的专业技术领域有一定知名度和权威性；</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（二）参与智能电力标准化工作不少于10年或者具有5年以上科研工作经历，并具有高级专业技术职称，作为主要起草人员完成国家、行业、地方、团体或企业标准2项（含）以上；</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（三）坚持原则，作风正派，认真负责，廉洁公正；</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（四）热爱并自愿参加联盟标准化工作，身体健康，在精力和时间上能够保证参与标准审查工作及有关活动。</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第七条</w:t>
      </w:r>
      <w:r>
        <w:rPr>
          <w:rFonts w:hint="eastAsia" w:ascii="仿宋" w:hAnsi="仿宋" w:eastAsia="仿宋" w:cs="仿宋_GB2312"/>
          <w:color w:val="000000"/>
          <w:kern w:val="0"/>
          <w:sz w:val="24"/>
          <w:szCs w:val="24"/>
          <w:lang w:bidi="ar"/>
        </w:rPr>
        <w:t xml:space="preserve"> 标委会委员的产生程序：</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（一）联盟面向全社会公开征集标委会委员；</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（二）委员应如实填写《联盟标准化工作委员会委员推荐表》（见表1），由推荐单位初审并出具意见后报送联盟标准化办公室；</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（三）联盟标准化办公室组织评审，提出标委会组成名单建议。</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标委会设主任委员1人，副主任委员不多于4人，秘书长1人，副秘书长不多于2人。正副主任、秘书长的人选从标委会委员中产生，联盟理事会聘任。</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第八条</w:t>
      </w:r>
      <w:r>
        <w:rPr>
          <w:rFonts w:hint="eastAsia" w:ascii="仿宋" w:hAnsi="仿宋" w:eastAsia="仿宋" w:cs="仿宋_GB2312"/>
          <w:b/>
          <w:color w:val="000000"/>
          <w:kern w:val="0"/>
          <w:sz w:val="24"/>
          <w:szCs w:val="24"/>
          <w:lang w:bidi="ar"/>
        </w:rPr>
        <w:t xml:space="preserve"> </w:t>
      </w:r>
      <w:r>
        <w:rPr>
          <w:rFonts w:hint="eastAsia" w:ascii="仿宋" w:hAnsi="仿宋" w:eastAsia="仿宋" w:cs="仿宋_GB2312"/>
          <w:color w:val="000000"/>
          <w:kern w:val="0"/>
          <w:sz w:val="24"/>
          <w:szCs w:val="24"/>
          <w:lang w:bidi="ar"/>
        </w:rPr>
        <w:t>标委会委员享有下列权利：</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（一）优先参加联盟组织的各项活动；</w:t>
      </w:r>
    </w:p>
    <w:p>
      <w:pPr>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（二）优先获取联盟相关调研成果、标准资料和活动信息等，并享有相关的待遇；</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（三）对标委会职责范围内的事项发表意见、建议，并进行审议或表决；</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（四）自愿决定是否解聘或续聘。</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第九条</w:t>
      </w:r>
      <w:r>
        <w:rPr>
          <w:rFonts w:hint="eastAsia" w:ascii="仿宋" w:hAnsi="仿宋" w:eastAsia="仿宋" w:cs="仿宋_GB2312"/>
          <w:color w:val="000000"/>
          <w:kern w:val="0"/>
          <w:sz w:val="24"/>
          <w:szCs w:val="24"/>
          <w:lang w:bidi="ar"/>
        </w:rPr>
        <w:t xml:space="preserve"> 标委会委员负有下列义务：</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（一）不得无故或长期缺席标委会会议；</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（二）公平公正履行标委会委员工作职责；</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 xml:space="preserve">（三）严格遵守相关保密规定，不对外披露保密信息； </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（四）及时搜集相关行业及专业的标准化信息，开展有关的调查研究，向标委会提交调查报告、意见或建议。</w:t>
      </w:r>
    </w:p>
    <w:p>
      <w:pPr>
        <w:widowControl/>
        <w:spacing w:line="510" w:lineRule="exact"/>
        <w:ind w:firstLine="482" w:firstLineChars="200"/>
        <w:jc w:val="left"/>
        <w:rPr>
          <w:rFonts w:ascii="仿宋" w:hAnsi="仿宋" w:eastAsia="仿宋" w:cs="仿宋_GB2312"/>
          <w:color w:val="000000"/>
          <w:kern w:val="0"/>
          <w:sz w:val="24"/>
          <w:szCs w:val="24"/>
          <w:lang w:bidi="ar"/>
        </w:rPr>
      </w:pPr>
      <w:r>
        <w:rPr>
          <w:rFonts w:hint="eastAsia" w:ascii="仿宋" w:hAnsi="仿宋" w:eastAsia="仿宋" w:cs="黑体"/>
          <w:b/>
          <w:color w:val="000000"/>
          <w:kern w:val="0"/>
          <w:sz w:val="24"/>
          <w:szCs w:val="24"/>
          <w:lang w:bidi="ar"/>
        </w:rPr>
        <w:t>第十条</w:t>
      </w:r>
      <w:r>
        <w:rPr>
          <w:rFonts w:ascii="仿宋" w:hAnsi="仿宋" w:eastAsia="仿宋" w:cs="仿宋_GB2312"/>
          <w:color w:val="000000"/>
          <w:kern w:val="0"/>
          <w:sz w:val="24"/>
          <w:szCs w:val="24"/>
          <w:lang w:bidi="ar"/>
        </w:rPr>
        <w:t xml:space="preserve"> </w:t>
      </w:r>
      <w:r>
        <w:rPr>
          <w:rFonts w:hint="eastAsia" w:ascii="仿宋" w:hAnsi="仿宋" w:eastAsia="仿宋" w:cs="仿宋_GB2312"/>
          <w:color w:val="000000"/>
          <w:kern w:val="0"/>
          <w:sz w:val="24"/>
          <w:szCs w:val="24"/>
          <w:lang w:bidi="ar"/>
        </w:rPr>
        <w:t>联盟设标准化办公室（与标委会秘书处合署办公），负责标委会的日常事务。</w:t>
      </w:r>
    </w:p>
    <w:p>
      <w:pPr>
        <w:widowControl/>
        <w:spacing w:line="510" w:lineRule="exact"/>
        <w:jc w:val="center"/>
        <w:rPr>
          <w:rFonts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第三章 委员（专家）</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第十一条</w:t>
      </w:r>
      <w:r>
        <w:rPr>
          <w:rFonts w:hint="eastAsia" w:ascii="仿宋" w:hAnsi="仿宋" w:eastAsia="仿宋" w:cs="仿宋_GB2312"/>
          <w:color w:val="000000"/>
          <w:kern w:val="0"/>
          <w:sz w:val="24"/>
          <w:szCs w:val="24"/>
          <w:lang w:bidi="ar"/>
        </w:rPr>
        <w:t xml:space="preserve"> 标委会依据智能电力领域专业分类设立专家库。</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第十二条</w:t>
      </w:r>
      <w:r>
        <w:rPr>
          <w:rFonts w:hint="eastAsia" w:ascii="仿宋" w:hAnsi="仿宋" w:eastAsia="仿宋" w:cs="黑体"/>
          <w:color w:val="000000"/>
          <w:kern w:val="0"/>
          <w:sz w:val="24"/>
          <w:szCs w:val="24"/>
          <w:lang w:bidi="ar"/>
        </w:rPr>
        <w:t xml:space="preserve"> </w:t>
      </w:r>
      <w:r>
        <w:rPr>
          <w:rFonts w:hint="eastAsia" w:ascii="仿宋" w:hAnsi="仿宋" w:eastAsia="仿宋" w:cs="仿宋_GB2312"/>
          <w:color w:val="000000"/>
          <w:kern w:val="0"/>
          <w:sz w:val="24"/>
          <w:szCs w:val="24"/>
          <w:lang w:bidi="ar"/>
        </w:rPr>
        <w:t>标委会委员和入库专家每届任期5年，任期结束时由联盟组织评审，符合任职条件的可连聘连任。</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第十三条</w:t>
      </w:r>
      <w:r>
        <w:rPr>
          <w:rFonts w:hint="eastAsia" w:ascii="仿宋" w:hAnsi="仿宋" w:eastAsia="仿宋" w:cs="仿宋_GB2312"/>
          <w:color w:val="000000"/>
          <w:kern w:val="0"/>
          <w:sz w:val="24"/>
          <w:szCs w:val="24"/>
          <w:lang w:bidi="ar"/>
        </w:rPr>
        <w:t xml:space="preserve"> 专家库集成相关领域的专家学者，服务于联盟标准化、奖励评审、成果鉴定、评估咨询等工作。</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第十四条</w:t>
      </w:r>
      <w:r>
        <w:rPr>
          <w:rFonts w:hint="eastAsia" w:ascii="仿宋" w:hAnsi="仿宋" w:eastAsia="仿宋" w:cs="仿宋_GB2312"/>
          <w:color w:val="000000"/>
          <w:kern w:val="0"/>
          <w:sz w:val="24"/>
          <w:szCs w:val="24"/>
          <w:lang w:bidi="ar"/>
        </w:rPr>
        <w:t xml:space="preserve"> 专家库按照动态管理、科学配置、规范使用的原则建设和运行。</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第十五条</w:t>
      </w:r>
      <w:r>
        <w:rPr>
          <w:rFonts w:hint="eastAsia" w:ascii="仿宋" w:hAnsi="仿宋" w:eastAsia="仿宋" w:cs="仿宋_GB2312"/>
          <w:color w:val="000000"/>
          <w:kern w:val="0"/>
          <w:sz w:val="24"/>
          <w:szCs w:val="24"/>
          <w:lang w:bidi="ar"/>
        </w:rPr>
        <w:t xml:space="preserve"> 委员（专家）的职责：</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（一）参加相关标准立项审查；</w:t>
      </w:r>
    </w:p>
    <w:p>
      <w:pPr>
        <w:widowControl/>
        <w:spacing w:line="510" w:lineRule="exact"/>
        <w:ind w:firstLine="480" w:firstLineChars="200"/>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（二）参与标准的制修订工作；</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（三）对标准草案（大纲、征求意见稿、送审稿、报批稿等）技术内容进行预审把关，并向编制组提出审查意见；</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（四）参加相关标准送审稿审查会议，并提出意见；</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（五）参加相关标准的复审，提出复审意见；</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（六）参加联盟组织的奖励评审、成果鉴定、评估咨询等技术工作；</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 xml:space="preserve">（七）联盟部署的其他技术工作。 </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第十六条</w:t>
      </w:r>
      <w:r>
        <w:rPr>
          <w:rFonts w:hint="eastAsia" w:ascii="仿宋" w:hAnsi="仿宋" w:eastAsia="仿宋" w:cs="仿宋_GB2312"/>
          <w:color w:val="000000"/>
          <w:kern w:val="0"/>
          <w:sz w:val="24"/>
          <w:szCs w:val="24"/>
          <w:lang w:bidi="ar"/>
        </w:rPr>
        <w:t xml:space="preserve"> 标委会委员（专家）发生单位、职务、联系方式等关键信息变更情况，应及时告知联盟标准化办公室（标委会秘书处）对相关信息进行更新。</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第十七条</w:t>
      </w:r>
      <w:r>
        <w:rPr>
          <w:rFonts w:hint="eastAsia" w:ascii="仿宋" w:hAnsi="仿宋" w:eastAsia="仿宋" w:cs="仿宋_GB2312"/>
          <w:color w:val="000000"/>
          <w:kern w:val="0"/>
          <w:sz w:val="24"/>
          <w:szCs w:val="24"/>
          <w:lang w:bidi="ar"/>
        </w:rPr>
        <w:t xml:space="preserve"> 有下列情况之一的，经联盟标准化办公室审定，报标委会主任审批，为其办理退库手续：</w:t>
      </w:r>
    </w:p>
    <w:p>
      <w:pPr>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（一）因个人原因不再符合专家的基本条件的；</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（二）通知参加标准审查等标委会工作，无故不出席或连续3次不能出席的；</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（三）严重违反职业操守，徇私舞弊、弄虚作假、谋取私利的；</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（四）其他原因不再适合担任专家的。</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第十八条</w:t>
      </w:r>
      <w:r>
        <w:rPr>
          <w:rFonts w:hint="eastAsia" w:ascii="仿宋" w:hAnsi="仿宋" w:eastAsia="仿宋" w:cs="仿宋_GB2312"/>
          <w:color w:val="000000"/>
          <w:kern w:val="0"/>
          <w:sz w:val="24"/>
          <w:szCs w:val="24"/>
          <w:lang w:bidi="ar"/>
        </w:rPr>
        <w:t xml:space="preserve"> 标委会委员（专家）名单向社会公开，接受社会监督，强化专家自律，保持公正性。</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第十九条</w:t>
      </w:r>
      <w:r>
        <w:rPr>
          <w:rFonts w:hint="eastAsia" w:ascii="仿宋" w:hAnsi="仿宋" w:eastAsia="仿宋" w:cs="仿宋_GB2312"/>
          <w:color w:val="000000"/>
          <w:kern w:val="0"/>
          <w:sz w:val="24"/>
          <w:szCs w:val="24"/>
          <w:lang w:bidi="ar"/>
        </w:rPr>
        <w:t xml:space="preserve"> 标委会建立评价机制。通过使用单位评价、委员（专家）相互评价以及参与标准编制、意见反馈等多种方式，对委员（专家）参与标委会工作情况进行记录，作为委员（专家）聘用的参考依据。</w:t>
      </w:r>
    </w:p>
    <w:p>
      <w:pPr>
        <w:widowControl/>
        <w:spacing w:line="510" w:lineRule="exact"/>
        <w:ind w:firstLine="482" w:firstLineChars="200"/>
        <w:rPr>
          <w:rFonts w:ascii="仿宋" w:hAnsi="仿宋" w:eastAsia="仿宋" w:cs="仿宋_GB2312"/>
          <w:color w:val="000000"/>
          <w:kern w:val="0"/>
          <w:sz w:val="24"/>
          <w:szCs w:val="24"/>
          <w:lang w:bidi="ar"/>
        </w:rPr>
      </w:pPr>
      <w:r>
        <w:rPr>
          <w:rFonts w:hint="eastAsia" w:ascii="仿宋" w:hAnsi="仿宋" w:eastAsia="仿宋" w:cs="黑体"/>
          <w:b/>
          <w:color w:val="000000"/>
          <w:kern w:val="0"/>
          <w:sz w:val="24"/>
          <w:szCs w:val="24"/>
          <w:lang w:bidi="ar"/>
        </w:rPr>
        <w:t>第二十条</w:t>
      </w:r>
      <w:r>
        <w:rPr>
          <w:rFonts w:hint="eastAsia" w:ascii="仿宋" w:hAnsi="仿宋" w:eastAsia="仿宋" w:cs="仿宋_GB2312"/>
          <w:color w:val="000000"/>
          <w:kern w:val="0"/>
          <w:sz w:val="24"/>
          <w:szCs w:val="24"/>
          <w:lang w:bidi="ar"/>
        </w:rPr>
        <w:t xml:space="preserve"> 委员（专家）在工作中存在不当行为，经查实，予以通报批评，公开相关信息，撤消其资格。</w:t>
      </w:r>
    </w:p>
    <w:p>
      <w:pPr>
        <w:widowControl/>
        <w:spacing w:line="510" w:lineRule="exact"/>
        <w:jc w:val="center"/>
        <w:rPr>
          <w:rFonts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第四章 工作制度和工作保障</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第二十一条</w:t>
      </w:r>
      <w:r>
        <w:rPr>
          <w:rFonts w:hint="eastAsia" w:ascii="仿宋" w:hAnsi="仿宋" w:eastAsia="仿宋" w:cs="仿宋_GB2312"/>
          <w:color w:val="000000"/>
          <w:kern w:val="0"/>
          <w:sz w:val="24"/>
          <w:szCs w:val="24"/>
          <w:lang w:bidi="ar"/>
        </w:rPr>
        <w:t xml:space="preserve"> 标委会日常业务工作由标准化办公室组织实施，重大工作决议报标委会主任审定。</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第二十二条</w:t>
      </w:r>
      <w:r>
        <w:rPr>
          <w:rFonts w:hint="eastAsia" w:ascii="仿宋" w:hAnsi="仿宋" w:eastAsia="仿宋" w:cs="仿宋_GB2312"/>
          <w:color w:val="000000"/>
          <w:kern w:val="0"/>
          <w:sz w:val="24"/>
          <w:szCs w:val="24"/>
          <w:lang w:bidi="ar"/>
        </w:rPr>
        <w:t xml:space="preserve"> 标委会全体会议一般每年召开一次。有特殊需要时可适时召开，标委会全体会议重点研究相关管理办法、标准体系、工作计划、工作总结以及重大问题，也可进行相关标准的审定。</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第二十三条</w:t>
      </w:r>
      <w:r>
        <w:rPr>
          <w:rFonts w:hint="eastAsia" w:ascii="仿宋" w:hAnsi="仿宋" w:eastAsia="仿宋" w:cs="仿宋_GB2312"/>
          <w:color w:val="000000"/>
          <w:kern w:val="0"/>
          <w:sz w:val="24"/>
          <w:szCs w:val="24"/>
          <w:lang w:bidi="ar"/>
        </w:rPr>
        <w:t xml:space="preserve"> 根据工作任务需要，标委会可以设立临时工作组承担具体工作任务，工作完成后工作组自行解散。</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第二十四条</w:t>
      </w:r>
      <w:r>
        <w:rPr>
          <w:rFonts w:hint="eastAsia" w:ascii="仿宋" w:hAnsi="仿宋" w:eastAsia="仿宋" w:cs="仿宋_GB2312"/>
          <w:b/>
          <w:color w:val="000000"/>
          <w:kern w:val="0"/>
          <w:sz w:val="24"/>
          <w:szCs w:val="24"/>
          <w:lang w:bidi="ar"/>
        </w:rPr>
        <w:t xml:space="preserve"> </w:t>
      </w:r>
      <w:r>
        <w:rPr>
          <w:rFonts w:hint="eastAsia" w:ascii="仿宋" w:hAnsi="仿宋" w:eastAsia="仿宋" w:cs="仿宋_GB2312"/>
          <w:color w:val="000000"/>
          <w:kern w:val="0"/>
          <w:sz w:val="24"/>
          <w:szCs w:val="24"/>
          <w:lang w:bidi="ar"/>
        </w:rPr>
        <w:t>标委会各项管理制度、标准体系、年度工作计划、标准报批稿、相关标准化衍生物及其他重大事项应报标委会领导层（正副主任、秘书长）集体审议后实施。</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第二十五条</w:t>
      </w:r>
      <w:r>
        <w:rPr>
          <w:rFonts w:hint="eastAsia" w:ascii="仿宋" w:hAnsi="仿宋" w:eastAsia="仿宋" w:cs="仿宋_GB2312"/>
          <w:b/>
          <w:color w:val="000000"/>
          <w:kern w:val="0"/>
          <w:sz w:val="24"/>
          <w:szCs w:val="24"/>
          <w:lang w:bidi="ar"/>
        </w:rPr>
        <w:t xml:space="preserve"> </w:t>
      </w:r>
      <w:r>
        <w:rPr>
          <w:rFonts w:hint="eastAsia" w:ascii="仿宋" w:hAnsi="仿宋" w:eastAsia="仿宋" w:cs="仿宋_GB2312"/>
          <w:color w:val="000000"/>
          <w:kern w:val="0"/>
          <w:sz w:val="24"/>
          <w:szCs w:val="24"/>
          <w:lang w:bidi="ar"/>
        </w:rPr>
        <w:t>标委会年度工作总结、临时性工作任务、专题调查报告、会议资料等由标委会秘书处报联盟备案。</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第二十六条</w:t>
      </w:r>
      <w:r>
        <w:rPr>
          <w:rFonts w:hint="eastAsia" w:ascii="仿宋" w:hAnsi="仿宋" w:eastAsia="仿宋" w:cs="仿宋_GB2312"/>
          <w:b/>
          <w:color w:val="000000"/>
          <w:kern w:val="0"/>
          <w:sz w:val="24"/>
          <w:szCs w:val="24"/>
          <w:lang w:bidi="ar"/>
        </w:rPr>
        <w:t xml:space="preserve"> </w:t>
      </w:r>
      <w:r>
        <w:rPr>
          <w:rFonts w:hint="eastAsia" w:ascii="仿宋" w:hAnsi="仿宋" w:eastAsia="仿宋" w:cs="仿宋_GB2312"/>
          <w:color w:val="000000"/>
          <w:kern w:val="0"/>
          <w:sz w:val="24"/>
          <w:szCs w:val="24"/>
          <w:lang w:bidi="ar"/>
        </w:rPr>
        <w:t xml:space="preserve">标委会的经费来源： </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（一）联盟划拨；</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（二）单位或个人捐赠；</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（三）企事业单位资助；</w:t>
      </w:r>
    </w:p>
    <w:p>
      <w:pPr>
        <w:widowControl/>
        <w:spacing w:line="510" w:lineRule="exact"/>
        <w:ind w:firstLine="480" w:firstLineChars="200"/>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（四）在核准业务范围内开展活动或服务的收入；</w:t>
      </w:r>
    </w:p>
    <w:p>
      <w:pPr>
        <w:widowControl/>
        <w:spacing w:line="510" w:lineRule="exact"/>
        <w:ind w:firstLine="480" w:firstLineChars="200"/>
        <w:rPr>
          <w:rFonts w:ascii="仿宋" w:hAnsi="仿宋" w:eastAsia="仿宋" w:cs="仿宋_GB2312"/>
          <w:sz w:val="24"/>
          <w:szCs w:val="24"/>
        </w:rPr>
      </w:pPr>
      <w:r>
        <w:rPr>
          <w:rFonts w:hint="eastAsia" w:ascii="仿宋" w:hAnsi="仿宋" w:eastAsia="仿宋" w:cs="仿宋_GB2312"/>
          <w:color w:val="000000"/>
          <w:kern w:val="0"/>
          <w:sz w:val="24"/>
          <w:szCs w:val="24"/>
          <w:lang w:bidi="ar"/>
        </w:rPr>
        <w:t>（五）其他合法收入。</w:t>
      </w:r>
    </w:p>
    <w:p>
      <w:pPr>
        <w:widowControl/>
        <w:spacing w:line="510" w:lineRule="exact"/>
        <w:ind w:firstLine="482" w:firstLineChars="200"/>
        <w:rPr>
          <w:rFonts w:ascii="仿宋" w:hAnsi="仿宋" w:eastAsia="仿宋" w:cs="仿宋_GB2312"/>
          <w:color w:val="000000"/>
          <w:kern w:val="0"/>
          <w:sz w:val="24"/>
          <w:szCs w:val="24"/>
          <w:lang w:bidi="ar"/>
        </w:rPr>
      </w:pPr>
      <w:r>
        <w:rPr>
          <w:rFonts w:hint="eastAsia" w:ascii="仿宋" w:hAnsi="仿宋" w:eastAsia="仿宋" w:cs="黑体"/>
          <w:b/>
          <w:color w:val="000000"/>
          <w:kern w:val="0"/>
          <w:sz w:val="24"/>
          <w:szCs w:val="24"/>
          <w:lang w:bidi="ar"/>
        </w:rPr>
        <w:t>第二十七条</w:t>
      </w:r>
      <w:r>
        <w:rPr>
          <w:rFonts w:hint="eastAsia" w:ascii="仿宋" w:hAnsi="仿宋" w:eastAsia="仿宋" w:cs="仿宋_GB2312"/>
          <w:b/>
          <w:color w:val="000000"/>
          <w:kern w:val="0"/>
          <w:sz w:val="24"/>
          <w:szCs w:val="24"/>
          <w:lang w:bidi="ar"/>
        </w:rPr>
        <w:t xml:space="preserve"> </w:t>
      </w:r>
      <w:r>
        <w:rPr>
          <w:rFonts w:hint="eastAsia" w:ascii="仿宋" w:hAnsi="仿宋" w:eastAsia="仿宋" w:cs="仿宋_GB2312"/>
          <w:color w:val="000000"/>
          <w:kern w:val="0"/>
          <w:sz w:val="24"/>
          <w:szCs w:val="24"/>
          <w:lang w:bidi="ar"/>
        </w:rPr>
        <w:t>标委会的财务工作由联盟</w:t>
      </w:r>
      <w:r>
        <w:rPr>
          <w:rFonts w:hint="eastAsia" w:ascii="仿宋" w:hAnsi="仿宋" w:eastAsia="仿宋" w:cs="仿宋_GB2312"/>
          <w:color w:val="333333"/>
          <w:kern w:val="0"/>
          <w:sz w:val="24"/>
          <w:szCs w:val="24"/>
          <w:shd w:val="clear" w:color="auto" w:fill="FFFFFF"/>
          <w:lang w:bidi="ar"/>
        </w:rPr>
        <w:t>综合管理办公室</w:t>
      </w:r>
      <w:r>
        <w:rPr>
          <w:rFonts w:hint="eastAsia" w:ascii="仿宋" w:hAnsi="仿宋" w:eastAsia="仿宋" w:cs="仿宋_GB2312"/>
          <w:color w:val="000000"/>
          <w:kern w:val="0"/>
          <w:sz w:val="24"/>
          <w:szCs w:val="24"/>
          <w:lang w:bidi="ar"/>
        </w:rPr>
        <w:t>统一管理。</w:t>
      </w:r>
    </w:p>
    <w:p>
      <w:pPr>
        <w:widowControl/>
        <w:spacing w:line="510" w:lineRule="exact"/>
        <w:jc w:val="center"/>
        <w:rPr>
          <w:rFonts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第五章 附则</w:t>
      </w:r>
    </w:p>
    <w:p>
      <w:pPr>
        <w:widowControl/>
        <w:spacing w:line="510" w:lineRule="exact"/>
        <w:ind w:firstLine="482" w:firstLineChars="200"/>
        <w:rPr>
          <w:rFonts w:ascii="仿宋" w:hAnsi="仿宋" w:eastAsia="仿宋" w:cs="仿宋_GB2312"/>
          <w:sz w:val="24"/>
          <w:szCs w:val="24"/>
        </w:rPr>
      </w:pPr>
      <w:r>
        <w:rPr>
          <w:rFonts w:hint="eastAsia" w:ascii="仿宋" w:hAnsi="仿宋" w:eastAsia="仿宋" w:cs="黑体"/>
          <w:b/>
          <w:color w:val="000000"/>
          <w:kern w:val="0"/>
          <w:sz w:val="24"/>
          <w:szCs w:val="24"/>
          <w:lang w:bidi="ar"/>
        </w:rPr>
        <w:t>第二十八条</w:t>
      </w:r>
      <w:r>
        <w:rPr>
          <w:rFonts w:hint="eastAsia" w:ascii="仿宋" w:hAnsi="仿宋" w:eastAsia="仿宋" w:cs="仿宋_GB2312"/>
          <w:b/>
          <w:color w:val="000000"/>
          <w:kern w:val="0"/>
          <w:sz w:val="24"/>
          <w:szCs w:val="24"/>
          <w:lang w:bidi="ar"/>
        </w:rPr>
        <w:t xml:space="preserve"> </w:t>
      </w:r>
      <w:r>
        <w:rPr>
          <w:rFonts w:hint="eastAsia" w:ascii="仿宋" w:hAnsi="仿宋" w:eastAsia="仿宋" w:cs="仿宋_GB2312"/>
          <w:color w:val="000000"/>
          <w:kern w:val="0"/>
          <w:sz w:val="24"/>
          <w:szCs w:val="24"/>
          <w:lang w:bidi="ar"/>
        </w:rPr>
        <w:t>本管理办法由联盟理事会负责解释。</w:t>
      </w:r>
    </w:p>
    <w:p>
      <w:pPr>
        <w:widowControl/>
        <w:spacing w:line="510" w:lineRule="exact"/>
        <w:ind w:firstLine="482" w:firstLineChars="200"/>
        <w:rPr>
          <w:rFonts w:ascii="仿宋" w:hAnsi="仿宋" w:eastAsia="仿宋" w:cs="仿宋_GB2312"/>
          <w:color w:val="000000"/>
          <w:kern w:val="0"/>
          <w:sz w:val="24"/>
          <w:szCs w:val="24"/>
          <w:lang w:bidi="ar"/>
        </w:rPr>
      </w:pPr>
      <w:r>
        <w:rPr>
          <w:rFonts w:hint="eastAsia" w:ascii="仿宋" w:hAnsi="仿宋" w:eastAsia="仿宋" w:cs="黑体"/>
          <w:b/>
          <w:color w:val="000000"/>
          <w:kern w:val="0"/>
          <w:sz w:val="24"/>
          <w:szCs w:val="24"/>
          <w:lang w:bidi="ar"/>
        </w:rPr>
        <w:t>第二十九条</w:t>
      </w:r>
      <w:r>
        <w:rPr>
          <w:rFonts w:hint="eastAsia" w:ascii="仿宋" w:hAnsi="仿宋" w:eastAsia="仿宋" w:cs="仿宋_GB2312"/>
          <w:color w:val="000000"/>
          <w:kern w:val="0"/>
          <w:sz w:val="24"/>
          <w:szCs w:val="24"/>
          <w:lang w:bidi="ar"/>
        </w:rPr>
        <w:t xml:space="preserve"> 本管理办法自发布之日起生效。</w:t>
      </w:r>
    </w:p>
    <w:p>
      <w:pPr>
        <w:ind w:left="838" w:leftChars="-1" w:hanging="840" w:hangingChars="300"/>
        <w:rPr>
          <w:rFonts w:ascii="黑体" w:hAnsi="黑体" w:eastAsia="黑体" w:cs="黑体"/>
          <w:color w:val="000000"/>
          <w:sz w:val="32"/>
          <w:szCs w:val="32"/>
        </w:rPr>
      </w:pPr>
      <w:r>
        <w:rPr>
          <w:rFonts w:hint="eastAsia" w:ascii="黑体" w:hAnsi="黑体" w:eastAsia="黑体" w:cs="黑体"/>
          <w:color w:val="000000"/>
          <w:sz w:val="28"/>
          <w:szCs w:val="28"/>
        </w:rPr>
        <w:br w:type="page"/>
      </w:r>
      <w:r>
        <w:rPr>
          <w:rFonts w:hint="eastAsia" w:ascii="黑体" w:hAnsi="黑体" w:eastAsia="黑体" w:cs="黑体"/>
          <w:color w:val="000000"/>
          <w:sz w:val="32"/>
          <w:szCs w:val="32"/>
        </w:rPr>
        <w:t>表1</w:t>
      </w:r>
    </w:p>
    <w:p>
      <w:pPr>
        <w:spacing w:after="156" w:afterLines="50" w:line="560" w:lineRule="exact"/>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联盟标准化工作委员会委员推荐表</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876"/>
        <w:gridCol w:w="560"/>
        <w:gridCol w:w="1056"/>
        <w:gridCol w:w="91"/>
        <w:gridCol w:w="720"/>
        <w:gridCol w:w="15"/>
        <w:gridCol w:w="1163"/>
        <w:gridCol w:w="1064"/>
        <w:gridCol w:w="759"/>
        <w:gridCol w:w="1637"/>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69"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 xml:space="preserve">姓 </w:t>
            </w:r>
            <w:r>
              <w:rPr>
                <w:rFonts w:ascii="方正仿宋简体" w:hAnsi="宋体" w:eastAsia="方正仿宋简体" w:cs="方正仿宋简体"/>
                <w:sz w:val="22"/>
              </w:rPr>
              <w:t xml:space="preserve"> </w:t>
            </w:r>
            <w:r>
              <w:rPr>
                <w:rFonts w:hint="eastAsia" w:ascii="方正仿宋简体" w:hAnsi="宋体" w:eastAsia="方正仿宋简体" w:cs="方正仿宋简体"/>
                <w:sz w:val="22"/>
              </w:rPr>
              <w:t>名</w:t>
            </w:r>
          </w:p>
        </w:tc>
        <w:tc>
          <w:tcPr>
            <w:tcW w:w="14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c>
          <w:tcPr>
            <w:tcW w:w="11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 xml:space="preserve">性 </w:t>
            </w:r>
            <w:r>
              <w:rPr>
                <w:rFonts w:ascii="方正仿宋简体" w:hAnsi="宋体" w:eastAsia="方正仿宋简体" w:cs="方正仿宋简体"/>
                <w:sz w:val="22"/>
              </w:rPr>
              <w:t xml:space="preserve"> </w:t>
            </w:r>
            <w:r>
              <w:rPr>
                <w:rFonts w:hint="eastAsia" w:ascii="方正仿宋简体" w:hAnsi="宋体" w:eastAsia="方正仿宋简体" w:cs="方正仿宋简体"/>
                <w:sz w:val="22"/>
              </w:rPr>
              <w:t xml:space="preserve"> 别</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出生年月</w:t>
            </w:r>
          </w:p>
        </w:tc>
        <w:tc>
          <w:tcPr>
            <w:tcW w:w="18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40" w:firstLineChars="200"/>
              <w:rPr>
                <w:rFonts w:ascii="方正仿宋简体" w:hAnsi="宋体" w:eastAsia="方正仿宋简体"/>
                <w:sz w:val="22"/>
              </w:rPr>
            </w:pPr>
            <w:r>
              <w:rPr>
                <w:rFonts w:hint="eastAsia" w:ascii="方正仿宋简体" w:hAnsi="宋体" w:eastAsia="方正仿宋简体" w:cs="方正仿宋简体"/>
                <w:sz w:val="22"/>
              </w:rPr>
              <w:t>年   月</w:t>
            </w:r>
          </w:p>
        </w:tc>
        <w:tc>
          <w:tcPr>
            <w:tcW w:w="163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二  寸</w:t>
            </w:r>
          </w:p>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彩  色</w:t>
            </w:r>
          </w:p>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照  片</w:t>
            </w:r>
          </w:p>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（电子版请附JPG图片）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69"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 xml:space="preserve">民 </w:t>
            </w:r>
            <w:r>
              <w:rPr>
                <w:rFonts w:ascii="方正仿宋简体" w:hAnsi="宋体" w:eastAsia="方正仿宋简体" w:cs="方正仿宋简体"/>
                <w:sz w:val="22"/>
              </w:rPr>
              <w:t xml:space="preserve"> </w:t>
            </w:r>
            <w:r>
              <w:rPr>
                <w:rFonts w:hint="eastAsia" w:ascii="方正仿宋简体" w:hAnsi="宋体" w:eastAsia="方正仿宋简体" w:cs="方正仿宋简体"/>
                <w:sz w:val="22"/>
              </w:rPr>
              <w:t>族</w:t>
            </w:r>
          </w:p>
        </w:tc>
        <w:tc>
          <w:tcPr>
            <w:tcW w:w="14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c>
          <w:tcPr>
            <w:tcW w:w="11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政治面貌</w:t>
            </w:r>
          </w:p>
        </w:tc>
        <w:tc>
          <w:tcPr>
            <w:tcW w:w="372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330" w:firstLineChars="150"/>
              <w:rPr>
                <w:rFonts w:ascii="方正仿宋简体" w:hAnsi="宋体" w:eastAsia="方正仿宋简体"/>
                <w:sz w:val="22"/>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69" w:hRule="atLeast"/>
          <w:jc w:val="center"/>
        </w:trPr>
        <w:tc>
          <w:tcPr>
            <w:tcW w:w="25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技术职称及聘任时间</w:t>
            </w:r>
          </w:p>
        </w:tc>
        <w:tc>
          <w:tcPr>
            <w:tcW w:w="486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right"/>
              <w:rPr>
                <w:rFonts w:ascii="方正仿宋简体" w:hAnsi="宋体" w:eastAsia="方正仿宋简体" w:cs="方正仿宋简体"/>
                <w:sz w:val="22"/>
              </w:rPr>
            </w:pPr>
            <w:r>
              <w:rPr>
                <w:rFonts w:hint="eastAsia" w:ascii="方正仿宋简体" w:hAnsi="宋体" w:eastAsia="方正仿宋简体" w:cs="方正仿宋简体"/>
                <w:sz w:val="22"/>
              </w:rPr>
              <w:t xml:space="preserve">     年   月                                          </w:t>
            </w: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身份证号</w:t>
            </w:r>
          </w:p>
        </w:tc>
        <w:tc>
          <w:tcPr>
            <w:tcW w:w="6304"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工作单位</w:t>
            </w:r>
          </w:p>
        </w:tc>
        <w:tc>
          <w:tcPr>
            <w:tcW w:w="2583"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单位性质</w:t>
            </w:r>
          </w:p>
        </w:tc>
        <w:tc>
          <w:tcPr>
            <w:tcW w:w="4646"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简体" w:hAnsi="宋体" w:eastAsia="方正仿宋简体"/>
                <w:sz w:val="22"/>
              </w:rPr>
            </w:pPr>
            <w:r>
              <w:rPr>
                <w:rFonts w:hint="eastAsia" w:ascii="方正仿宋简体" w:hAnsi="Times New Roman" w:eastAsia="方正仿宋简体" w:cs="方正仿宋简体"/>
                <w:sz w:val="22"/>
              </w:rPr>
              <w:t xml:space="preserve">1.国有企业2.民营企业3.科研院所4.大专院校5.行业协会6.政府机构7.外商独资企业8.中外合资、中外合作或外方控股企业9.其他_________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行政职务</w:t>
            </w:r>
          </w:p>
        </w:tc>
        <w:tc>
          <w:tcPr>
            <w:tcW w:w="14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c>
          <w:tcPr>
            <w:tcW w:w="11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从事专业</w:t>
            </w:r>
          </w:p>
        </w:tc>
        <w:tc>
          <w:tcPr>
            <w:tcW w:w="5366"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通信地址</w:t>
            </w:r>
          </w:p>
        </w:tc>
        <w:tc>
          <w:tcPr>
            <w:tcW w:w="7949"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邮政编码</w:t>
            </w:r>
          </w:p>
        </w:tc>
        <w:tc>
          <w:tcPr>
            <w:tcW w:w="14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c>
          <w:tcPr>
            <w:tcW w:w="11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简体" w:hAnsi="宋体" w:eastAsia="方正仿宋简体"/>
                <w:sz w:val="22"/>
              </w:rPr>
            </w:pPr>
            <w:r>
              <w:rPr>
                <w:rFonts w:hint="eastAsia" w:ascii="方正仿宋简体" w:hAnsi="宋体" w:eastAsia="方正仿宋简体" w:cs="方正仿宋简体"/>
                <w:sz w:val="22"/>
              </w:rPr>
              <w:t>联系电话</w:t>
            </w:r>
          </w:p>
        </w:tc>
        <w:tc>
          <w:tcPr>
            <w:tcW w:w="189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c>
          <w:tcPr>
            <w:tcW w:w="1064" w:type="dxa"/>
            <w:tcBorders>
              <w:top w:val="single" w:color="auto" w:sz="4" w:space="0"/>
              <w:left w:val="single" w:color="auto" w:sz="4" w:space="0"/>
              <w:bottom w:val="single" w:color="auto" w:sz="4" w:space="0"/>
              <w:right w:val="single" w:color="auto" w:sz="4" w:space="0"/>
            </w:tcBorders>
            <w:vAlign w:val="center"/>
          </w:tcPr>
          <w:p>
            <w:pPr>
              <w:spacing w:line="300" w:lineRule="exact"/>
              <w:ind w:left="-107" w:firstLine="1"/>
              <w:jc w:val="center"/>
              <w:rPr>
                <w:rFonts w:ascii="方正仿宋简体" w:hAnsi="宋体" w:eastAsia="方正仿宋简体"/>
                <w:sz w:val="22"/>
              </w:rPr>
            </w:pPr>
            <w:r>
              <w:rPr>
                <w:rFonts w:hint="eastAsia" w:ascii="方正仿宋简体" w:hAnsi="宋体" w:eastAsia="方正仿宋简体" w:cs="方正仿宋简体"/>
                <w:sz w:val="22"/>
              </w:rPr>
              <w:t>传真</w:t>
            </w:r>
          </w:p>
        </w:tc>
        <w:tc>
          <w:tcPr>
            <w:tcW w:w="239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电子邮箱</w:t>
            </w:r>
          </w:p>
        </w:tc>
        <w:tc>
          <w:tcPr>
            <w:tcW w:w="7949"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毕业院校</w:t>
            </w:r>
          </w:p>
        </w:tc>
        <w:tc>
          <w:tcPr>
            <w:tcW w:w="4481"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c>
          <w:tcPr>
            <w:tcW w:w="10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cs="方正仿宋简体"/>
                <w:sz w:val="22"/>
              </w:rPr>
            </w:pPr>
            <w:r>
              <w:rPr>
                <w:rFonts w:hint="eastAsia" w:ascii="方正仿宋简体" w:hAnsi="宋体" w:eastAsia="方正仿宋简体" w:cs="方正仿宋简体"/>
                <w:sz w:val="22"/>
              </w:rPr>
              <w:t>所学</w:t>
            </w:r>
          </w:p>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专业</w:t>
            </w:r>
          </w:p>
        </w:tc>
        <w:tc>
          <w:tcPr>
            <w:tcW w:w="240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49"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毕业时间</w:t>
            </w:r>
          </w:p>
        </w:tc>
        <w:tc>
          <w:tcPr>
            <w:tcW w:w="249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696"/>
              <w:jc w:val="center"/>
              <w:rPr>
                <w:rFonts w:ascii="方正仿宋简体" w:hAnsi="宋体" w:eastAsia="方正仿宋简体" w:cs="方正仿宋简体"/>
                <w:sz w:val="22"/>
              </w:rPr>
            </w:pPr>
            <w:r>
              <w:rPr>
                <w:rFonts w:hint="eastAsia" w:ascii="方正仿宋简体" w:hAnsi="宋体" w:eastAsia="方正仿宋简体" w:cs="方正仿宋简体"/>
                <w:sz w:val="22"/>
              </w:rPr>
              <w:t xml:space="preserve">年     月     </w:t>
            </w:r>
          </w:p>
        </w:tc>
        <w:tc>
          <w:tcPr>
            <w:tcW w:w="82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学历</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c>
          <w:tcPr>
            <w:tcW w:w="10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学位</w:t>
            </w:r>
          </w:p>
        </w:tc>
        <w:tc>
          <w:tcPr>
            <w:tcW w:w="239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8"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方正仿宋简体" w:hAnsi="宋体" w:eastAsia="方正仿宋简体"/>
                <w:sz w:val="22"/>
              </w:rPr>
            </w:pPr>
            <w:r>
              <w:rPr>
                <w:rFonts w:hint="eastAsia" w:ascii="方正仿宋简体" w:hAnsi="宋体" w:eastAsia="方正仿宋简体" w:cs="方正仿宋简体"/>
                <w:sz w:val="22"/>
              </w:rPr>
              <w:t>会何种外语   1. 英语 □  2. 法语 □  3. 德语 □  4. 日语 □  5. 俄语 □</w:t>
            </w:r>
          </w:p>
          <w:p>
            <w:pPr>
              <w:spacing w:line="300" w:lineRule="exact"/>
              <w:ind w:firstLine="1408" w:firstLineChars="640"/>
              <w:jc w:val="left"/>
              <w:rPr>
                <w:rFonts w:ascii="方正仿宋简体" w:hAnsi="宋体" w:eastAsia="方正仿宋简体"/>
                <w:sz w:val="22"/>
              </w:rPr>
            </w:pPr>
            <w:r>
              <w:rPr>
                <w:rFonts w:hint="eastAsia" w:ascii="方正仿宋简体" w:hAnsi="宋体" w:eastAsia="方正仿宋简体" w:cs="方正仿宋简体"/>
                <w:sz w:val="22"/>
              </w:rPr>
              <w:t>6.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8"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简体" w:hAnsi="宋体" w:eastAsia="方正仿宋简体" w:cs="方正仿宋简体"/>
                <w:sz w:val="22"/>
              </w:rPr>
            </w:pPr>
            <w:r>
              <w:rPr>
                <w:rFonts w:hint="eastAsia" w:ascii="方正仿宋简体" w:hAnsi="宋体" w:eastAsia="方正仿宋简体" w:cs="方正仿宋简体"/>
                <w:sz w:val="22"/>
              </w:rPr>
              <w:t xml:space="preserve">外语熟练程度 (  )英语  (  )法语  (  )德语  (  )日语 (  )俄语 (  )其他  </w:t>
            </w:r>
          </w:p>
          <w:p>
            <w:pPr>
              <w:spacing w:line="300" w:lineRule="exact"/>
              <w:rPr>
                <w:rFonts w:ascii="方正仿宋简体" w:hAnsi="宋体" w:eastAsia="方正仿宋简体"/>
                <w:sz w:val="22"/>
              </w:rPr>
            </w:pPr>
            <w:r>
              <w:rPr>
                <w:rFonts w:hint="eastAsia" w:ascii="方正仿宋简体" w:hAnsi="宋体" w:eastAsia="方正仿宋简体" w:cs="方正仿宋简体"/>
                <w:sz w:val="22"/>
              </w:rPr>
              <w:t xml:space="preserve">             1．流利 □  2. 中等 □  3. 入门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有何专业技术特长</w:t>
            </w:r>
          </w:p>
        </w:tc>
        <w:tc>
          <w:tcPr>
            <w:tcW w:w="7073"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p>
          <w:p>
            <w:pPr>
              <w:spacing w:line="300" w:lineRule="exact"/>
              <w:jc w:val="center"/>
              <w:rPr>
                <w:rFonts w:ascii="方正仿宋简体" w:hAnsi="宋体" w:eastAsia="方正仿宋简体"/>
                <w:sz w:val="22"/>
              </w:rPr>
            </w:pPr>
          </w:p>
          <w:p>
            <w:pPr>
              <w:spacing w:line="300" w:lineRule="exact"/>
              <w:jc w:val="center"/>
              <w:rPr>
                <w:rFonts w:ascii="方正仿宋简体" w:hAnsi="宋体" w:eastAsia="方正仿宋简体"/>
                <w:sz w:val="22"/>
              </w:rPr>
            </w:pPr>
          </w:p>
          <w:p>
            <w:pPr>
              <w:spacing w:line="300" w:lineRule="exact"/>
              <w:jc w:val="center"/>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曾负责组织制修订标准、主要职责</w:t>
            </w:r>
          </w:p>
        </w:tc>
        <w:tc>
          <w:tcPr>
            <w:tcW w:w="7073"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有何发明、著作、学术论文，发表时间、发表刊物名称</w:t>
            </w:r>
          </w:p>
        </w:tc>
        <w:tc>
          <w:tcPr>
            <w:tcW w:w="7073" w:type="dxa"/>
            <w:gridSpan w:val="10"/>
            <w:tcBorders>
              <w:top w:val="single" w:color="auto" w:sz="4" w:space="0"/>
              <w:left w:val="single" w:color="auto" w:sz="4" w:space="0"/>
              <w:bottom w:val="single" w:color="auto" w:sz="4" w:space="0"/>
              <w:right w:val="single" w:color="auto" w:sz="4" w:space="0"/>
            </w:tcBorders>
          </w:tcPr>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参加何种学术组织、担任何种职务</w:t>
            </w:r>
          </w:p>
        </w:tc>
        <w:tc>
          <w:tcPr>
            <w:tcW w:w="7073" w:type="dxa"/>
            <w:gridSpan w:val="10"/>
            <w:tcBorders>
              <w:top w:val="single" w:color="auto" w:sz="4" w:space="0"/>
              <w:left w:val="single" w:color="auto" w:sz="4" w:space="0"/>
              <w:bottom w:val="single" w:color="auto" w:sz="4" w:space="0"/>
              <w:right w:val="single" w:color="auto" w:sz="4" w:space="0"/>
            </w:tcBorders>
          </w:tcPr>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受过何种奖励</w:t>
            </w:r>
          </w:p>
        </w:tc>
        <w:tc>
          <w:tcPr>
            <w:tcW w:w="7073" w:type="dxa"/>
            <w:gridSpan w:val="10"/>
            <w:tcBorders>
              <w:top w:val="single" w:color="auto" w:sz="4" w:space="0"/>
              <w:left w:val="single" w:color="auto" w:sz="4" w:space="0"/>
              <w:bottom w:val="single" w:color="auto" w:sz="4" w:space="0"/>
              <w:right w:val="single" w:color="auto" w:sz="4" w:space="0"/>
            </w:tcBorders>
          </w:tcPr>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简体" w:hAnsi="宋体" w:eastAsia="方正仿宋简体"/>
                <w:sz w:val="22"/>
              </w:rPr>
            </w:pPr>
            <w:r>
              <w:rPr>
                <w:rFonts w:hint="eastAsia" w:ascii="方正仿宋简体" w:hAnsi="宋体" w:eastAsia="方正仿宋简体" w:cs="方正仿宋简体"/>
                <w:sz w:val="22"/>
              </w:rPr>
              <w:t>单位意见</w:t>
            </w:r>
          </w:p>
        </w:tc>
        <w:tc>
          <w:tcPr>
            <w:tcW w:w="7073" w:type="dxa"/>
            <w:gridSpan w:val="10"/>
            <w:tcBorders>
              <w:top w:val="single" w:color="auto" w:sz="4" w:space="0"/>
              <w:left w:val="single" w:color="auto" w:sz="4" w:space="0"/>
              <w:bottom w:val="single" w:color="auto" w:sz="4" w:space="0"/>
              <w:right w:val="single" w:color="auto" w:sz="4" w:space="0"/>
            </w:tcBorders>
          </w:tcPr>
          <w:p>
            <w:pPr>
              <w:spacing w:line="300" w:lineRule="exact"/>
              <w:rPr>
                <w:rFonts w:ascii="方正仿宋简体" w:hAnsi="宋体" w:eastAsia="方正仿宋简体"/>
                <w:sz w:val="22"/>
              </w:rPr>
            </w:pPr>
          </w:p>
          <w:p>
            <w:pPr>
              <w:spacing w:line="300" w:lineRule="exact"/>
              <w:rPr>
                <w:rFonts w:ascii="方正仿宋简体" w:hAnsi="宋体" w:eastAsia="方正仿宋简体"/>
                <w:sz w:val="22"/>
              </w:rPr>
            </w:pPr>
          </w:p>
          <w:p>
            <w:pPr>
              <w:spacing w:line="300" w:lineRule="exact"/>
              <w:ind w:firstLine="2640" w:firstLineChars="1200"/>
              <w:rPr>
                <w:rFonts w:ascii="方正仿宋简体" w:hAnsi="宋体" w:eastAsia="方正仿宋简体"/>
                <w:sz w:val="22"/>
              </w:rPr>
            </w:pPr>
          </w:p>
          <w:p>
            <w:pPr>
              <w:spacing w:line="300" w:lineRule="exact"/>
              <w:ind w:firstLine="2640" w:firstLineChars="1200"/>
              <w:rPr>
                <w:rFonts w:ascii="方正仿宋简体" w:hAnsi="宋体" w:eastAsia="方正仿宋简体"/>
                <w:sz w:val="22"/>
              </w:rPr>
            </w:pPr>
          </w:p>
          <w:p>
            <w:pPr>
              <w:spacing w:line="300" w:lineRule="exact"/>
              <w:ind w:firstLine="2530" w:firstLineChars="1150"/>
              <w:rPr>
                <w:rFonts w:ascii="方正仿宋简体" w:hAnsi="Times New Roman" w:eastAsia="方正仿宋简体"/>
                <w:sz w:val="22"/>
              </w:rPr>
            </w:pPr>
            <w:r>
              <w:rPr>
                <w:rFonts w:hint="eastAsia" w:ascii="方正仿宋简体" w:hAnsi="Times New Roman" w:eastAsia="方正仿宋简体" w:cs="方正仿宋简体"/>
                <w:sz w:val="22"/>
              </w:rPr>
              <w:t>负责人：                 （签名、盖公章）</w:t>
            </w:r>
          </w:p>
          <w:p>
            <w:pPr>
              <w:spacing w:line="300" w:lineRule="exact"/>
              <w:ind w:firstLine="420"/>
              <w:jc w:val="center"/>
              <w:rPr>
                <w:rFonts w:ascii="方正仿宋简体" w:hAnsi="Times New Roman" w:eastAsia="方正仿宋简体"/>
                <w:sz w:val="22"/>
              </w:rPr>
            </w:pPr>
          </w:p>
          <w:p>
            <w:pPr>
              <w:spacing w:line="300" w:lineRule="exact"/>
              <w:ind w:firstLine="3850" w:firstLineChars="1750"/>
              <w:jc w:val="center"/>
              <w:rPr>
                <w:rFonts w:ascii="方正仿宋简体" w:hAnsi="宋体" w:eastAsia="方正仿宋简体"/>
                <w:sz w:val="22"/>
              </w:rPr>
            </w:pPr>
            <w:r>
              <w:rPr>
                <w:rFonts w:hint="eastAsia" w:ascii="方正仿宋简体" w:hAnsi="Times New Roman" w:eastAsia="方正仿宋简体" w:cs="方正仿宋简体"/>
                <w:sz w:val="22"/>
              </w:rPr>
              <w:t>年     月    日</w:t>
            </w:r>
          </w:p>
        </w:tc>
      </w:tr>
    </w:tbl>
    <w:p>
      <w:pPr>
        <w:spacing w:line="480" w:lineRule="exact"/>
        <w:rPr>
          <w:rFonts w:ascii="黑体" w:hAnsi="黑体" w:eastAsia="黑体" w:cs="黑体"/>
          <w:color w:val="000000"/>
          <w:sz w:val="28"/>
          <w:szCs w:val="28"/>
        </w:rPr>
      </w:pP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GFjN2I2MThiYTg3OTMyOTFkZmM4NTA0NjdlOTcifQ=="/>
  </w:docVars>
  <w:rsids>
    <w:rsidRoot w:val="00000000"/>
    <w:rsid w:val="3B785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2022-07-19T05:50:18Z</dcterms:created>
  <dc:creator>Administrator</dc:creator>
  <cp:lastModifiedBy>喵喵</cp:lastModifiedBy>
  <dcterms:modified xsi:type="dcterms:W3CDTF">2022-07-19T05:51:07Z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FA139B3F67EB407EB869F60A92BDA407</vt:lpwstr>
  </property>
</Properties>
</file>