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default" w:ascii="仿宋_GB2312" w:hAnsi="宋体" w:eastAsia="仿宋_GB2312"/>
          <w:lang w:val="en-US" w:eastAsia="zh-CN"/>
        </w:rPr>
      </w:pPr>
      <w:r>
        <w:rPr>
          <w:rFonts w:hint="eastAsia" w:ascii="仿宋_GB2312" w:hAnsi="宋体" w:eastAsia="仿宋_GB2312"/>
          <w:lang w:val="en-US" w:eastAsia="zh-CN"/>
        </w:rPr>
        <w:t>附件3</w:t>
      </w:r>
    </w:p>
    <w:p>
      <w:pPr>
        <w:adjustRightInd w:val="0"/>
        <w:snapToGrid w:val="0"/>
        <w:spacing w:line="360" w:lineRule="auto"/>
        <w:jc w:val="center"/>
        <w:rPr>
          <w:rFonts w:hint="eastAsia" w:ascii="仿宋_GB2312" w:hAnsi="宋体" w:eastAsia="仿宋_GB2312"/>
        </w:rPr>
      </w:pPr>
    </w:p>
    <w:p>
      <w:pPr>
        <w:adjustRightInd w:val="0"/>
        <w:snapToGrid w:val="0"/>
        <w:spacing w:line="360" w:lineRule="auto"/>
        <w:jc w:val="center"/>
        <w:rPr>
          <w:rFonts w:hint="eastAsia" w:ascii="仿宋_GB2312" w:hAnsi="宋体" w:eastAsia="仿宋_GB2312"/>
        </w:rPr>
      </w:pPr>
    </w:p>
    <w:p>
      <w:pPr>
        <w:adjustRightInd w:val="0"/>
        <w:snapToGrid w:val="0"/>
        <w:spacing w:line="360" w:lineRule="auto"/>
        <w:jc w:val="center"/>
        <w:rPr>
          <w:rFonts w:hint="eastAsia" w:ascii="仿宋_GB2312" w:hAnsi="宋体" w:eastAsia="仿宋_GB2312"/>
        </w:rPr>
      </w:pPr>
    </w:p>
    <w:p>
      <w:pPr>
        <w:adjustRightInd w:val="0"/>
        <w:snapToGrid w:val="0"/>
        <w:spacing w:line="360" w:lineRule="auto"/>
        <w:jc w:val="center"/>
        <w:rPr>
          <w:rFonts w:hint="eastAsia" w:ascii="仿宋_GB2312" w:hAnsi="宋体" w:eastAsia="仿宋_GB2312"/>
          <w:sz w:val="52"/>
          <w:szCs w:val="52"/>
        </w:rPr>
      </w:pPr>
      <w:r>
        <w:rPr>
          <w:rFonts w:hint="eastAsia" w:ascii="仿宋_GB2312" w:hAnsi="宋体" w:eastAsia="仿宋_GB2312"/>
          <w:sz w:val="52"/>
          <w:szCs w:val="52"/>
        </w:rPr>
        <w:t>西藏自治区地方标准</w:t>
      </w:r>
      <w:r>
        <w:rPr>
          <w:rFonts w:hint="eastAsia" w:ascii="仿宋_GB2312" w:hAnsi="宋体" w:eastAsia="仿宋_GB2312"/>
          <w:sz w:val="52"/>
          <w:szCs w:val="52"/>
        </w:rPr>
        <w:br w:type="textWrapping"/>
      </w:r>
      <w:r>
        <w:rPr>
          <w:rFonts w:hint="eastAsia" w:ascii="仿宋_GB2312" w:hAnsi="宋体" w:eastAsia="仿宋_GB2312"/>
          <w:sz w:val="52"/>
          <w:szCs w:val="52"/>
        </w:rPr>
        <w:t>《高海拔地区12kV～40.5 kV开关柜差异化质量检测技术导则》</w:t>
      </w:r>
    </w:p>
    <w:p>
      <w:pPr>
        <w:adjustRightInd w:val="0"/>
        <w:snapToGrid w:val="0"/>
        <w:spacing w:line="360" w:lineRule="auto"/>
        <w:jc w:val="center"/>
        <w:rPr>
          <w:rFonts w:hint="eastAsia" w:ascii="仿宋_GB2312" w:hAnsi="宋体" w:eastAsia="仿宋_GB2312"/>
          <w:sz w:val="52"/>
          <w:szCs w:val="52"/>
        </w:rPr>
      </w:pPr>
      <w:r>
        <w:rPr>
          <w:rFonts w:hint="eastAsia" w:ascii="仿宋_GB2312" w:hAnsi="宋体" w:eastAsia="仿宋_GB2312"/>
          <w:sz w:val="52"/>
          <w:szCs w:val="52"/>
        </w:rPr>
        <w:t>编制说明</w:t>
      </w:r>
    </w:p>
    <w:p>
      <w:pPr>
        <w:spacing w:line="360" w:lineRule="auto"/>
        <w:jc w:val="center"/>
        <w:rPr>
          <w:rFonts w:hint="eastAsia" w:ascii="仿宋_GB2312" w:hAnsi="宋体" w:eastAsia="仿宋_GB2312"/>
          <w:b/>
          <w:sz w:val="32"/>
          <w:szCs w:val="20"/>
        </w:rPr>
      </w:pPr>
    </w:p>
    <w:p>
      <w:pPr>
        <w:spacing w:line="360" w:lineRule="auto"/>
        <w:jc w:val="center"/>
        <w:rPr>
          <w:rFonts w:hint="eastAsia" w:ascii="仿宋_GB2312" w:hAnsi="宋体" w:eastAsia="仿宋_GB2312"/>
          <w:b/>
          <w:sz w:val="32"/>
          <w:szCs w:val="20"/>
        </w:rPr>
      </w:pPr>
    </w:p>
    <w:p>
      <w:pPr>
        <w:spacing w:line="360" w:lineRule="auto"/>
        <w:jc w:val="center"/>
        <w:rPr>
          <w:rFonts w:hint="eastAsia" w:ascii="仿宋_GB2312" w:hAnsi="宋体" w:eastAsia="仿宋_GB2312"/>
          <w:b/>
          <w:sz w:val="32"/>
          <w:szCs w:val="20"/>
        </w:rPr>
      </w:pPr>
    </w:p>
    <w:p>
      <w:pPr>
        <w:spacing w:line="360" w:lineRule="auto"/>
        <w:jc w:val="center"/>
        <w:rPr>
          <w:rFonts w:hint="eastAsia" w:ascii="仿宋_GB2312" w:hAnsi="宋体" w:eastAsia="仿宋_GB2312"/>
          <w:b/>
          <w:sz w:val="32"/>
          <w:szCs w:val="20"/>
        </w:rPr>
      </w:pPr>
    </w:p>
    <w:p>
      <w:pPr>
        <w:pStyle w:val="3"/>
        <w:spacing w:line="360" w:lineRule="auto"/>
        <w:ind w:left="0" w:leftChars="0" w:firstLine="0" w:firstLineChars="0"/>
        <w:jc w:val="center"/>
        <w:rPr>
          <w:rFonts w:hint="eastAsia" w:ascii="仿宋_GB2312" w:hAnsi="宋体" w:eastAsia="仿宋_GB2312"/>
          <w:b/>
          <w:sz w:val="28"/>
          <w:szCs w:val="28"/>
          <w:u w:val="single"/>
        </w:rPr>
      </w:pPr>
      <w:r>
        <w:rPr>
          <w:rFonts w:hint="eastAsia" w:ascii="仿宋_GB2312" w:hAnsi="宋体" w:eastAsia="仿宋_GB2312" w:cs="宋体"/>
          <w:b/>
          <w:sz w:val="28"/>
          <w:szCs w:val="28"/>
        </w:rPr>
        <w:t xml:space="preserve">标 </w:t>
      </w:r>
      <w:r>
        <w:rPr>
          <w:rFonts w:hint="eastAsia" w:ascii="仿宋_GB2312" w:hAnsi="宋体" w:eastAsia="仿宋_GB2312" w:cs="Batang"/>
          <w:b/>
          <w:sz w:val="28"/>
          <w:szCs w:val="28"/>
        </w:rPr>
        <w:t xml:space="preserve">准 名 </w:t>
      </w:r>
      <w:r>
        <w:rPr>
          <w:rFonts w:hint="eastAsia" w:ascii="仿宋_GB2312" w:hAnsi="宋体" w:eastAsia="仿宋_GB2312" w:cs="宋体"/>
          <w:b/>
          <w:sz w:val="28"/>
          <w:szCs w:val="28"/>
        </w:rPr>
        <w:t>称</w:t>
      </w:r>
      <w:r>
        <w:rPr>
          <w:rFonts w:hint="eastAsia" w:ascii="仿宋_GB2312" w:hAnsi="宋体" w:eastAsia="仿宋_GB2312" w:cs="宋体"/>
          <w:b/>
          <w:sz w:val="28"/>
          <w:szCs w:val="28"/>
          <w:lang w:eastAsia="zh-CN"/>
        </w:rPr>
        <w:t>：</w:t>
      </w:r>
      <w:r>
        <w:rPr>
          <w:rFonts w:hint="eastAsia" w:ascii="仿宋_GB2312" w:hAnsi="宋体" w:eastAsia="仿宋_GB2312"/>
          <w:sz w:val="28"/>
          <w:szCs w:val="28"/>
          <w:u w:val="single"/>
        </w:rPr>
        <w:t>高海拔地区12kV～40.5 kV开关柜差异化质量检测技术导则</w:t>
      </w:r>
    </w:p>
    <w:p>
      <w:pPr>
        <w:pStyle w:val="3"/>
        <w:spacing w:line="360" w:lineRule="auto"/>
        <w:ind w:left="0" w:leftChars="0" w:firstLine="0" w:firstLineChars="0"/>
        <w:rPr>
          <w:rFonts w:hint="eastAsia" w:ascii="仿宋_GB2312" w:hAnsi="宋体" w:eastAsia="仿宋_GB2312"/>
          <w:b/>
          <w:sz w:val="28"/>
          <w:szCs w:val="28"/>
        </w:rPr>
      </w:pPr>
      <w:r>
        <w:rPr>
          <w:rFonts w:hint="eastAsia" w:ascii="仿宋_GB2312" w:hAnsi="宋体" w:eastAsia="仿宋_GB2312" w:cs="宋体"/>
          <w:b/>
          <w:sz w:val="28"/>
          <w:szCs w:val="28"/>
        </w:rPr>
        <w:t>标 准 性 质：</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推荐性标准                       </w:t>
      </w:r>
    </w:p>
    <w:p>
      <w:pPr>
        <w:pStyle w:val="3"/>
        <w:spacing w:line="360" w:lineRule="auto"/>
        <w:ind w:left="0" w:leftChars="0" w:firstLine="0" w:firstLineChars="0"/>
        <w:rPr>
          <w:rFonts w:hint="eastAsia" w:ascii="仿宋_GB2312" w:hAnsi="宋体" w:eastAsia="仿宋_GB2312"/>
          <w:spacing w:val="-14"/>
          <w:sz w:val="28"/>
          <w:szCs w:val="28"/>
          <w:u w:val="single"/>
        </w:rPr>
      </w:pPr>
      <w:r>
        <w:rPr>
          <w:rFonts w:hint="eastAsia" w:ascii="仿宋_GB2312" w:hAnsi="宋体" w:eastAsia="仿宋_GB2312" w:cs="宋体"/>
          <w:b/>
          <w:sz w:val="28"/>
          <w:szCs w:val="28"/>
        </w:rPr>
        <w:t>项目承担单位：</w:t>
      </w:r>
      <w:r>
        <w:rPr>
          <w:rFonts w:hint="eastAsia" w:ascii="仿宋_GB2312" w:hAnsi="宋体" w:eastAsia="仿宋_GB2312"/>
          <w:spacing w:val="-14"/>
          <w:sz w:val="28"/>
          <w:szCs w:val="28"/>
          <w:u w:val="single"/>
        </w:rPr>
        <w:t xml:space="preserve">  </w:t>
      </w:r>
      <w:r>
        <w:rPr>
          <w:rFonts w:hint="eastAsia" w:ascii="仿宋_GB2312" w:hAnsi="宋体" w:eastAsia="仿宋_GB2312"/>
          <w:spacing w:val="-14"/>
          <w:sz w:val="28"/>
          <w:szCs w:val="28"/>
          <w:u w:val="single"/>
          <w:lang w:val="en-US" w:eastAsia="zh-CN"/>
        </w:rPr>
        <w:t xml:space="preserve"> 国网西藏电力有限公司电力科学研究院            </w:t>
      </w:r>
    </w:p>
    <w:p>
      <w:pPr>
        <w:pStyle w:val="3"/>
        <w:spacing w:line="360" w:lineRule="auto"/>
        <w:ind w:left="0" w:leftChars="0" w:firstLine="0" w:firstLineChars="0"/>
        <w:rPr>
          <w:rFonts w:hint="eastAsia" w:ascii="仿宋_GB2312" w:hAnsi="宋体" w:eastAsia="仿宋_GB2312"/>
          <w:spacing w:val="-14"/>
          <w:sz w:val="28"/>
          <w:szCs w:val="28"/>
          <w:u w:val="single"/>
        </w:rPr>
      </w:pPr>
      <w:r>
        <w:rPr>
          <w:rFonts w:hint="eastAsia" w:ascii="仿宋_GB2312" w:hAnsi="宋体" w:eastAsia="仿宋_GB2312" w:cs="宋体"/>
          <w:b/>
          <w:sz w:val="28"/>
          <w:szCs w:val="28"/>
        </w:rPr>
        <w:t>项目组织单位：</w:t>
      </w:r>
      <w:r>
        <w:rPr>
          <w:rFonts w:hint="eastAsia" w:ascii="仿宋_GB2312" w:hAnsi="宋体" w:eastAsia="仿宋_GB2312" w:cs="宋体"/>
          <w:b/>
          <w:sz w:val="28"/>
          <w:szCs w:val="28"/>
          <w:u w:val="single"/>
        </w:rPr>
        <w:t xml:space="preserve">  </w:t>
      </w:r>
      <w:r>
        <w:rPr>
          <w:rFonts w:hint="eastAsia" w:ascii="仿宋_GB2312" w:hAnsi="宋体" w:eastAsia="仿宋_GB2312" w:cs="宋体"/>
          <w:b w:val="0"/>
          <w:bCs/>
          <w:sz w:val="28"/>
          <w:szCs w:val="28"/>
          <w:u w:val="single"/>
        </w:rPr>
        <w:t xml:space="preserve"> </w:t>
      </w:r>
      <w:r>
        <w:rPr>
          <w:rFonts w:hint="eastAsia" w:ascii="仿宋_GB2312" w:hAnsi="宋体" w:eastAsia="仿宋_GB2312" w:cs="宋体"/>
          <w:b w:val="0"/>
          <w:bCs/>
          <w:sz w:val="28"/>
          <w:szCs w:val="28"/>
          <w:u w:val="single"/>
          <w:lang w:val="en-US" w:eastAsia="zh-CN"/>
        </w:rPr>
        <w:t>西藏自治区市场监督管理局</w:t>
      </w:r>
      <w:r>
        <w:rPr>
          <w:rFonts w:hint="eastAsia" w:ascii="仿宋_GB2312" w:hAnsi="宋体" w:eastAsia="仿宋_GB2312"/>
          <w:b w:val="0"/>
          <w:bCs/>
          <w:spacing w:val="-14"/>
          <w:sz w:val="28"/>
          <w:szCs w:val="28"/>
          <w:u w:val="single"/>
        </w:rPr>
        <w:t xml:space="preserve">    </w:t>
      </w:r>
      <w:r>
        <w:rPr>
          <w:rFonts w:hint="eastAsia" w:ascii="仿宋_GB2312" w:hAnsi="宋体" w:eastAsia="仿宋_GB2312"/>
          <w:spacing w:val="-14"/>
          <w:sz w:val="28"/>
          <w:szCs w:val="28"/>
          <w:u w:val="single"/>
        </w:rPr>
        <w:t xml:space="preserve">    </w:t>
      </w:r>
      <w:r>
        <w:rPr>
          <w:rFonts w:hint="eastAsia" w:ascii="仿宋_GB2312" w:hAnsi="宋体" w:eastAsia="仿宋_GB2312"/>
          <w:spacing w:val="-14"/>
          <w:sz w:val="28"/>
          <w:szCs w:val="28"/>
          <w:u w:val="single"/>
          <w:lang w:val="en-US" w:eastAsia="zh-CN"/>
        </w:rPr>
        <w:t xml:space="preserve">   </w:t>
      </w:r>
      <w:r>
        <w:rPr>
          <w:rFonts w:hint="eastAsia" w:ascii="仿宋_GB2312" w:hAnsi="宋体" w:eastAsia="仿宋_GB2312"/>
          <w:spacing w:val="-14"/>
          <w:sz w:val="28"/>
          <w:szCs w:val="28"/>
          <w:u w:val="single"/>
        </w:rPr>
        <w:t xml:space="preserve"> </w:t>
      </w:r>
      <w:r>
        <w:rPr>
          <w:rFonts w:hint="eastAsia" w:ascii="仿宋_GB2312" w:hAnsi="宋体" w:eastAsia="仿宋_GB2312"/>
          <w:spacing w:val="-14"/>
          <w:sz w:val="28"/>
          <w:szCs w:val="28"/>
          <w:u w:val="single"/>
          <w:lang w:val="en-US" w:eastAsia="zh-CN"/>
        </w:rPr>
        <w:t xml:space="preserve">     </w:t>
      </w:r>
      <w:r>
        <w:rPr>
          <w:rFonts w:hint="eastAsia" w:ascii="仿宋_GB2312" w:hAnsi="宋体" w:eastAsia="仿宋_GB2312"/>
          <w:spacing w:val="-14"/>
          <w:sz w:val="28"/>
          <w:szCs w:val="28"/>
          <w:u w:val="single"/>
        </w:rPr>
        <w:t xml:space="preserve">  </w:t>
      </w:r>
    </w:p>
    <w:p>
      <w:pPr>
        <w:spacing w:line="360" w:lineRule="auto"/>
        <w:ind w:left="0" w:leftChars="0" w:firstLine="0" w:firstLineChars="0"/>
        <w:rPr>
          <w:rFonts w:hint="eastAsia" w:ascii="仿宋_GB2312" w:hAnsi="宋体" w:eastAsia="仿宋_GB2312"/>
          <w:b/>
          <w:sz w:val="28"/>
          <w:szCs w:val="28"/>
        </w:rPr>
      </w:pPr>
      <w:r>
        <w:rPr>
          <w:rFonts w:hint="eastAsia" w:ascii="仿宋_GB2312" w:hAnsi="宋体" w:eastAsia="仿宋_GB2312" w:cs="宋体"/>
          <w:b/>
          <w:sz w:val="28"/>
          <w:szCs w:val="28"/>
        </w:rPr>
        <w:t>项目实施时间：</w:t>
      </w:r>
      <w:r>
        <w:rPr>
          <w:rFonts w:hint="eastAsia" w:ascii="仿宋_GB2312" w:hAnsi="宋体" w:eastAsia="仿宋_GB2312"/>
          <w:sz w:val="28"/>
          <w:szCs w:val="28"/>
          <w:u w:val="single"/>
        </w:rPr>
        <w:t xml:space="preserve">   20</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年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月至 20</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u w:val="single"/>
        </w:rPr>
        <w:t xml:space="preserve"> 年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月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spacing w:before="100" w:beforeAutospacing="1" w:line="360" w:lineRule="auto"/>
        <w:ind w:firstLine="482" w:firstLineChars="200"/>
        <w:jc w:val="left"/>
        <w:rPr>
          <w:rFonts w:ascii="Times New Roman" w:hAnsi="Times New Roman" w:cs="Times New Roman"/>
          <w:b/>
          <w:kern w:val="0"/>
          <w:sz w:val="24"/>
        </w:rPr>
      </w:pPr>
    </w:p>
    <w:p>
      <w:pPr>
        <w:spacing w:before="100" w:beforeAutospacing="1" w:line="360" w:lineRule="auto"/>
        <w:ind w:firstLine="482" w:firstLineChars="200"/>
        <w:jc w:val="left"/>
        <w:rPr>
          <w:rFonts w:ascii="Times New Roman" w:hAnsi="Times New Roman" w:cs="Times New Roman"/>
          <w:b/>
          <w:kern w:val="0"/>
          <w:sz w:val="24"/>
        </w:rPr>
      </w:pP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一、工作简况</w:t>
      </w:r>
    </w:p>
    <w:p>
      <w:pPr>
        <w:autoSpaceDE w:val="0"/>
        <w:autoSpaceDN w:val="0"/>
        <w:adjustRightInd w:val="0"/>
        <w:spacing w:line="360" w:lineRule="auto"/>
        <w:ind w:firstLine="0" w:firstLineChars="0"/>
        <w:jc w:val="left"/>
      </w:pPr>
      <w:r>
        <w:rPr>
          <w:rFonts w:hint="eastAsia" w:ascii="仿宋_GB2312" w:hAnsi="Calibri" w:eastAsia="仿宋_GB2312" w:cs="宋体"/>
          <w:b/>
          <w:sz w:val="32"/>
          <w:szCs w:val="32"/>
          <w:lang w:val="en-US" w:eastAsia="zh-CN"/>
        </w:rPr>
        <w:t>1、主要工作过程</w:t>
      </w:r>
      <w:r>
        <w:rPr>
          <w:rFonts w:hint="eastAsia"/>
        </w:rPr>
        <w:t xml:space="preserve"> </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国网西藏电力有限公司电力科学研究院于</w:t>
      </w:r>
      <w:r>
        <w:rPr>
          <w:rFonts w:hint="eastAsia" w:ascii="仿宋_GB2312" w:hAnsi="Calibri" w:eastAsia="仿宋_GB2312" w:cs="宋体"/>
          <w:sz w:val="28"/>
          <w:szCs w:val="28"/>
          <w:lang w:val="en-US" w:eastAsia="zh-CN"/>
        </w:rPr>
        <w:t>2023</w:t>
      </w:r>
      <w:r>
        <w:rPr>
          <w:rFonts w:hint="eastAsia" w:ascii="仿宋_GB2312" w:hAnsi="Calibri" w:eastAsia="仿宋_GB2312" w:cs="宋体"/>
          <w:sz w:val="28"/>
          <w:szCs w:val="28"/>
        </w:rPr>
        <w:t>年</w:t>
      </w:r>
      <w:r>
        <w:rPr>
          <w:rFonts w:hint="eastAsia" w:ascii="仿宋_GB2312" w:hAnsi="Calibri" w:eastAsia="仿宋_GB2312" w:cs="宋体"/>
          <w:sz w:val="28"/>
          <w:szCs w:val="28"/>
          <w:lang w:val="en-US" w:eastAsia="zh-CN"/>
        </w:rPr>
        <w:t>5</w:t>
      </w:r>
      <w:r>
        <w:rPr>
          <w:rFonts w:hint="eastAsia" w:ascii="仿宋_GB2312" w:hAnsi="Calibri" w:eastAsia="仿宋_GB2312" w:cs="宋体"/>
          <w:sz w:val="28"/>
          <w:szCs w:val="28"/>
        </w:rPr>
        <w:t>月</w:t>
      </w:r>
      <w:r>
        <w:rPr>
          <w:rFonts w:hint="eastAsia" w:ascii="仿宋_GB2312" w:hAnsi="Calibri" w:eastAsia="仿宋_GB2312" w:cs="宋体"/>
          <w:sz w:val="28"/>
          <w:szCs w:val="28"/>
          <w:lang w:val="en-US" w:eastAsia="zh-CN"/>
        </w:rPr>
        <w:t>15</w:t>
      </w:r>
      <w:r>
        <w:rPr>
          <w:rFonts w:hint="eastAsia" w:ascii="仿宋_GB2312" w:hAnsi="Calibri" w:eastAsia="仿宋_GB2312" w:cs="宋体"/>
          <w:sz w:val="28"/>
          <w:szCs w:val="28"/>
        </w:rPr>
        <w:t>日获得西藏自治区市场监督管理局标准的立项批复文件，根据任务要求，202</w:t>
      </w:r>
      <w:r>
        <w:rPr>
          <w:rFonts w:hint="eastAsia" w:ascii="仿宋_GB2312" w:hAnsi="Calibri" w:eastAsia="仿宋_GB2312" w:cs="宋体"/>
          <w:sz w:val="28"/>
          <w:szCs w:val="28"/>
          <w:lang w:val="en-US" w:eastAsia="zh-CN"/>
        </w:rPr>
        <w:t>3</w:t>
      </w:r>
      <w:r>
        <w:rPr>
          <w:rFonts w:hint="eastAsia" w:ascii="仿宋_GB2312" w:hAnsi="Calibri" w:eastAsia="仿宋_GB2312" w:cs="宋体"/>
          <w:sz w:val="28"/>
          <w:szCs w:val="28"/>
        </w:rPr>
        <w:t>年</w:t>
      </w:r>
      <w:r>
        <w:rPr>
          <w:rFonts w:hint="eastAsia" w:ascii="仿宋_GB2312" w:hAnsi="Calibri" w:eastAsia="仿宋_GB2312" w:cs="宋体"/>
          <w:sz w:val="28"/>
          <w:szCs w:val="28"/>
          <w:lang w:val="en-US" w:eastAsia="zh-CN"/>
        </w:rPr>
        <w:t>5</w:t>
      </w:r>
      <w:r>
        <w:rPr>
          <w:rFonts w:hint="eastAsia" w:ascii="仿宋_GB2312" w:hAnsi="Calibri" w:eastAsia="仿宋_GB2312" w:cs="宋体"/>
          <w:sz w:val="28"/>
          <w:szCs w:val="28"/>
        </w:rPr>
        <w:t>月</w:t>
      </w:r>
      <w:r>
        <w:rPr>
          <w:rFonts w:hint="eastAsia" w:ascii="仿宋_GB2312" w:hAnsi="Calibri" w:eastAsia="仿宋_GB2312" w:cs="宋体"/>
          <w:sz w:val="28"/>
          <w:szCs w:val="28"/>
          <w:lang w:val="en-US" w:eastAsia="zh-CN"/>
        </w:rPr>
        <w:t>15</w:t>
      </w:r>
      <w:r>
        <w:rPr>
          <w:rFonts w:hint="eastAsia" w:ascii="仿宋_GB2312" w:hAnsi="Calibri" w:eastAsia="仿宋_GB2312" w:cs="宋体"/>
          <w:sz w:val="28"/>
          <w:szCs w:val="28"/>
        </w:rPr>
        <w:t>日国网西藏电力有限公司电力科学研究院、</w:t>
      </w:r>
      <w:bookmarkStart w:id="0" w:name="_Hlk164413215"/>
      <w:r>
        <w:rPr>
          <w:rFonts w:hint="eastAsia" w:ascii="仿宋_GB2312" w:hAnsi="Calibri" w:eastAsia="仿宋_GB2312" w:cs="宋体"/>
          <w:sz w:val="28"/>
          <w:szCs w:val="28"/>
        </w:rPr>
        <w:t>中国电力科学研究院有限公司</w:t>
      </w:r>
      <w:bookmarkEnd w:id="0"/>
      <w:r>
        <w:rPr>
          <w:rFonts w:hint="eastAsia" w:ascii="仿宋_GB2312" w:hAnsi="Calibri" w:eastAsia="仿宋_GB2312" w:cs="宋体"/>
          <w:sz w:val="28"/>
          <w:szCs w:val="28"/>
        </w:rPr>
        <w:t>、国网新疆电力有限公司、国网山西省电力公司电力科学研究院、国网福建省电力有限公司物资分公司、国网山东省电力公司电力科学研究院、国网湖南省电力有限公司电力科学研究院。联合组织成立标准编制工作起草小组，开展标准编制组织工作。标准编制工作起草小组在202</w:t>
      </w:r>
      <w:r>
        <w:rPr>
          <w:rFonts w:hint="eastAsia" w:ascii="仿宋_GB2312" w:hAnsi="Calibri" w:eastAsia="仿宋_GB2312" w:cs="宋体"/>
          <w:sz w:val="28"/>
          <w:szCs w:val="28"/>
          <w:lang w:val="en-US" w:eastAsia="zh-CN"/>
        </w:rPr>
        <w:t>3</w:t>
      </w:r>
      <w:r>
        <w:rPr>
          <w:rFonts w:hint="eastAsia" w:ascii="仿宋_GB2312" w:hAnsi="Calibri" w:eastAsia="仿宋_GB2312" w:cs="宋体"/>
          <w:sz w:val="28"/>
          <w:szCs w:val="28"/>
        </w:rPr>
        <w:t>年</w:t>
      </w:r>
      <w:r>
        <w:rPr>
          <w:rFonts w:hint="eastAsia" w:ascii="仿宋_GB2312" w:hAnsi="Calibri" w:eastAsia="仿宋_GB2312" w:cs="宋体"/>
          <w:sz w:val="28"/>
          <w:szCs w:val="28"/>
          <w:lang w:val="en-US" w:eastAsia="zh-CN"/>
        </w:rPr>
        <w:t>5</w:t>
      </w:r>
      <w:r>
        <w:rPr>
          <w:rFonts w:hint="eastAsia" w:ascii="仿宋_GB2312" w:hAnsi="Calibri" w:eastAsia="仿宋_GB2312" w:cs="宋体"/>
          <w:sz w:val="28"/>
          <w:szCs w:val="28"/>
        </w:rPr>
        <w:t>月份积极组织筹备和征集标准起草单位。经过征集、评审和筛选等一系列流程，最终确定了标准起草工作组的成员单位，成立了标准起草工作组。</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标准起草工作组制定了标准编制工作计划、编写大纲，明确任务分工及各阶段进度时间。同时，标准起草工作组成员认真学习了GB/T 1.1—2020《标准化工作导则 第1部分：标准的结构和编写规则》等内容，结合标准制定工作程序的各个环节，进行了探讨和研究。</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标准起草工作组经过技术调研、咨询，收集、消化有关资料，并结合西藏自治区12kV～40.5 kV开关柜应用现状及技术发展趋势，于2023年5月编写完成了《</w:t>
      </w:r>
      <w:bookmarkStart w:id="1" w:name="_Hlk164413117"/>
      <w:r>
        <w:rPr>
          <w:rFonts w:hint="eastAsia" w:ascii="仿宋_GB2312" w:hAnsi="Calibri" w:eastAsia="仿宋_GB2312" w:cs="宋体"/>
          <w:sz w:val="28"/>
          <w:szCs w:val="28"/>
        </w:rPr>
        <w:t>高海拔地区12kV～40.5 kV开关柜</w:t>
      </w:r>
      <w:bookmarkEnd w:id="1"/>
      <w:r>
        <w:rPr>
          <w:rFonts w:hint="eastAsia" w:ascii="仿宋_GB2312" w:hAnsi="Calibri" w:eastAsia="仿宋_GB2312" w:cs="宋体"/>
          <w:sz w:val="28"/>
          <w:szCs w:val="28"/>
        </w:rPr>
        <w:t>差异化质量检测技术导则》的草案稿。2023年6月，起草工作组首次会议成功召开，会议讨论了当前高海拔地区12kV～40.5 kV开关柜应用现状，确定了标准起草的总体框架和主要内容。</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标准起草工作组按照首次会议纪要内容，对草案稿提出的意见、建议进行了认真分析、理解和总结，迅速开展标准的征求意见稿的编制以及试验项目的实施工作，于2023年9月编写完成了《高海拔地区12kV～40.5 kV开关柜差异化质量检测技术导则》的征求意见稿初稿。2023年10月，起草工作组标准意见稿研讨会议成功召开，与会专家对《高海拔地区12kV～40.5 kV开关柜差异化质量检测技术导则》标准意见稿的内容条款及技术指标进行了逐条研讨，对标准制定中遇到的相关问题进行了深入交流并达成共识，确定了标准征求意见稿的内容。</w:t>
      </w:r>
    </w:p>
    <w:p>
      <w:pPr>
        <w:autoSpaceDE w:val="0"/>
        <w:autoSpaceDN w:val="0"/>
        <w:adjustRightInd w:val="0"/>
        <w:spacing w:line="360" w:lineRule="auto"/>
        <w:ind w:firstLine="0" w:firstLineChars="0"/>
        <w:jc w:val="left"/>
        <w:rPr>
          <w:rFonts w:hint="eastAsia" w:ascii="仿宋_GB2312" w:hAnsi="Calibri" w:eastAsia="仿宋_GB2312" w:cs="宋体"/>
          <w:b/>
          <w:sz w:val="32"/>
          <w:szCs w:val="32"/>
          <w:lang w:val="en-US" w:eastAsia="zh-CN"/>
        </w:rPr>
      </w:pPr>
      <w:r>
        <w:rPr>
          <w:rFonts w:hint="eastAsia" w:ascii="仿宋_GB2312" w:hAnsi="Calibri" w:eastAsia="仿宋_GB2312" w:cs="宋体"/>
          <w:b/>
          <w:sz w:val="32"/>
          <w:szCs w:val="32"/>
          <w:lang w:val="en-US" w:eastAsia="zh-CN"/>
        </w:rPr>
        <w:t>2、主要参加单位和起草工作组成员及其所做的工作</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标准由国网西藏电力有限公司电力科学研究院为牵头单位负责起草。中国电力科学研究院有限公司、国网新疆电力有限公司、国网山西省电力公司电力科学研究院、国网福建省电力有限公司物资分公司、国网山东省电力公司电力科学研究院、国网湖南省电力有限公司电力科学研究院。</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主要成员：</w:t>
      </w:r>
      <w:r>
        <w:rPr>
          <w:rFonts w:hint="eastAsia" w:ascii="仿宋_GB2312" w:hAnsi="Calibri" w:eastAsia="仿宋_GB2312" w:cs="宋体"/>
          <w:sz w:val="28"/>
          <w:szCs w:val="28"/>
          <w:lang w:val="en-US" w:eastAsia="zh-CN"/>
        </w:rPr>
        <w:t>拉贵</w:t>
      </w:r>
      <w:r>
        <w:rPr>
          <w:rFonts w:hint="eastAsia" w:ascii="仿宋_GB2312" w:hAnsi="Calibri" w:eastAsia="仿宋_GB2312" w:cs="宋体"/>
          <w:sz w:val="28"/>
          <w:szCs w:val="28"/>
        </w:rPr>
        <w:t>、</w:t>
      </w:r>
      <w:r>
        <w:rPr>
          <w:rFonts w:hint="eastAsia" w:ascii="仿宋_GB2312" w:hAnsi="Calibri" w:eastAsia="仿宋_GB2312" w:cs="宋体"/>
          <w:sz w:val="28"/>
          <w:szCs w:val="28"/>
          <w:lang w:val="en-US" w:eastAsia="zh-CN"/>
        </w:rPr>
        <w:t>朱真兵、赵文涛、吴莹、王浩、</w:t>
      </w:r>
      <w:r>
        <w:rPr>
          <w:rFonts w:hint="eastAsia" w:ascii="仿宋_GB2312" w:hAnsi="Calibri" w:eastAsia="仿宋_GB2312" w:cs="宋体"/>
          <w:sz w:val="28"/>
          <w:szCs w:val="28"/>
        </w:rPr>
        <w:t>代静、吴春九、胡民杰、金建伟、杨文强、魏垣俭、吴立德、谢春伦、黄志斌、梅松标、李洁玉、易娟、严博丰、张亮、刘星庭、吴磊、赵富强、由凯</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其中：</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标准架构设计： 代静、胡民杰</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标准资料收集： 金建伟、杨文强、魏垣俭、吴立德、谢春伦</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标准文本编写： 吴春九、胡民杰</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评价方案设计： 张亮、刘星庭、吴磊、赵富强、由凯</w:t>
      </w:r>
    </w:p>
    <w:p>
      <w:pPr>
        <w:autoSpaceDE w:val="0"/>
        <w:autoSpaceDN w:val="0"/>
        <w:adjustRightInd w:val="0"/>
        <w:spacing w:line="360" w:lineRule="auto"/>
        <w:ind w:firstLine="630" w:firstLineChars="225"/>
        <w:jc w:val="left"/>
        <w:rPr>
          <w:rFonts w:hint="eastAsia" w:ascii="仿宋_GB2312" w:hAnsi="Calibri" w:eastAsia="仿宋_GB2312" w:cs="宋体"/>
          <w:sz w:val="28"/>
          <w:szCs w:val="28"/>
          <w:lang w:eastAsia="zh-CN"/>
        </w:rPr>
      </w:pPr>
      <w:r>
        <w:rPr>
          <w:rFonts w:hint="eastAsia" w:ascii="仿宋_GB2312" w:hAnsi="Calibri" w:eastAsia="仿宋_GB2312" w:cs="宋体"/>
          <w:sz w:val="28"/>
          <w:szCs w:val="28"/>
        </w:rPr>
        <w:t>标准内容校对： 代静</w:t>
      </w:r>
      <w:r>
        <w:rPr>
          <w:rFonts w:hint="eastAsia" w:ascii="仿宋_GB2312" w:hAnsi="Calibri" w:eastAsia="仿宋_GB2312" w:cs="宋体"/>
          <w:sz w:val="28"/>
          <w:szCs w:val="28"/>
          <w:lang w:eastAsia="zh-CN"/>
        </w:rPr>
        <w:t>、</w:t>
      </w:r>
      <w:r>
        <w:rPr>
          <w:rFonts w:hint="eastAsia" w:ascii="仿宋_GB2312" w:hAnsi="Calibri" w:eastAsia="仿宋_GB2312" w:cs="宋体"/>
          <w:sz w:val="28"/>
          <w:szCs w:val="28"/>
        </w:rPr>
        <w:t>杨文强</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标准形式校对及会议组织： 代静、李洁玉、易娟</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二、标准编制原则和主要内容</w:t>
      </w:r>
    </w:p>
    <w:p>
      <w:pPr>
        <w:autoSpaceDE w:val="0"/>
        <w:autoSpaceDN w:val="0"/>
        <w:adjustRightInd w:val="0"/>
        <w:spacing w:line="360" w:lineRule="auto"/>
        <w:ind w:firstLine="0" w:firstLineChars="0"/>
        <w:jc w:val="left"/>
        <w:rPr>
          <w:rFonts w:hint="eastAsia" w:ascii="仿宋_GB2312" w:hAnsi="Calibri" w:eastAsia="仿宋_GB2312" w:cs="宋体"/>
          <w:b/>
          <w:sz w:val="32"/>
          <w:szCs w:val="32"/>
          <w:lang w:val="en-US" w:eastAsia="zh-CN"/>
        </w:rPr>
      </w:pPr>
      <w:r>
        <w:rPr>
          <w:rFonts w:hint="eastAsia" w:ascii="仿宋_GB2312" w:hAnsi="Calibri" w:eastAsia="仿宋_GB2312" w:cs="宋体"/>
          <w:b/>
          <w:sz w:val="32"/>
          <w:szCs w:val="32"/>
          <w:lang w:val="en-US" w:eastAsia="zh-CN"/>
        </w:rPr>
        <w:t>1、标准编制原则</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本标准在起草过程中，主要遵从以下原则：</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（1）科学性原则。确保规范与有关法律、法规和相关标准协调一致，最大限度满足西藏自治区高压开关柜差异化检测要求，提升标准的科学性。</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（2）先进性原则。在制定规范的过程中，广泛查询国内外相关标准、技术报告、学术论文，提高标准的先进性。</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（3）规范性原则。本标准在参考高压开关柜相关国家标准、行业标准，以确保标准制定的规范性。</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（4）适用性原则。本标准充分考虑西藏自治区高压开关柜的应用情况和特殊环境条件。本标准主要适用于西藏自治区12kV～40.5 kV开关柜的质量检测。</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2、标准主要内容</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本标准共包括5章，主要内容如下：</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第1章，范围，规定了高海拔地区12kV～40.5 kV开关柜的一般试验条件、试验检测项目、试验要求。本文件适用于高海拔地区12kV～40.5 kV开关柜的质量差异化试验检测。</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第2章，规范性引用文件，对本标准引用的文件进行列出。</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第3章，术语和定义，对本标准使用的术语进行定义和解释。</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第4章，总则，规定了</w:t>
      </w:r>
      <w:r>
        <w:rPr>
          <w:rFonts w:hint="default" w:ascii="仿宋_GB2312" w:hAnsi="Calibri" w:eastAsia="仿宋_GB2312" w:cs="宋体"/>
          <w:sz w:val="28"/>
          <w:szCs w:val="28"/>
        </w:rPr>
        <w:t>中压开关柜应满足的要求</w:t>
      </w:r>
      <w:r>
        <w:rPr>
          <w:rFonts w:hint="eastAsia" w:ascii="仿宋_GB2312" w:hAnsi="Calibri" w:eastAsia="仿宋_GB2312" w:cs="宋体"/>
          <w:sz w:val="28"/>
          <w:szCs w:val="28"/>
        </w:rPr>
        <w:t>。</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第5章，规定了试验项目、一般试验条件、各试验项目的试验方法、结果判定。</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3、主要技术差异</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lang w:val="en-US" w:eastAsia="zh-CN"/>
        </w:rPr>
        <w:t>针对西藏高海拔地区运输困难、道路颠簸对开关设备运输要求更高，本标准新增了运输颠簸试验</w:t>
      </w:r>
      <w:r>
        <w:rPr>
          <w:rFonts w:hint="eastAsia" w:ascii="仿宋_GB2312" w:hAnsi="Calibri" w:eastAsia="仿宋_GB2312" w:cs="宋体"/>
          <w:sz w:val="28"/>
          <w:szCs w:val="28"/>
        </w:rPr>
        <w:t>。</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4、解决的主要问题</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针对《GB/T 11022-2020高压交流开关设备和控制设备标准的共用技术要求》关于高海拔地区配网开关设备的要求，补充了海拔超过2000m的电网工程中的配网中压开关设备的检测技术要求，包括绝缘试验，温升试验，运输颠簸试验等。</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三、主要试验（或验证）情况</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2023年6月在国家电网公司特高压交流试验基地环境气候罐中开展了12kV/1250A高压开关柜、12kV/630A隔离开关两个开关设备及250平方毫米硬铜排在不同海拔大气压的温升试验，对比不同海拔下各测点的温升，分析开关设备的温升分布情况和温升随海拔变化的规律。</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四、标准中涉及专利的情况</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本标准不涉及专利问题。</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五、预期达到的社会效益、对产业发展的作用等情况</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本导则将规范西藏自治区电网物资采购及抽检工作，对于西藏自治区采购高质量开关设备、建设高可靠性配电网将会发挥积极作用。</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六、与国际、国外对比情况</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未采用国际、国外标准，该标准为国内先进水平。</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七、在标准体系中的位置，与现行相关法律、法规、规章及相关标准，特别是强制性标准的协调性</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本导则符合现行相关法律、法规的规定，与现有标准和制定中的标准，特别是强制性标准无冲突之处。</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八、重大分歧意见的处理经过和依据</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无。</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九、标准性质的建议说明</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建议本标准的性质为地方标准。</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十、贯彻标准的要求和措施建议</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 xml:space="preserve">企业是标准实施的主体，为促进各相关企业理解标准内容，规范企业操作和管理，提高企业服务水平，加强行业自律，标准发布后，后续工作将通过宣贯培训、试点示范等形式来推动标准的落地实施。  </w:t>
      </w:r>
    </w:p>
    <w:p>
      <w:pPr>
        <w:autoSpaceDE w:val="0"/>
        <w:autoSpaceDN w:val="0"/>
        <w:adjustRightInd w:val="0"/>
        <w:spacing w:line="360" w:lineRule="auto"/>
        <w:ind w:firstLine="0" w:firstLineChars="0"/>
        <w:jc w:val="left"/>
        <w:rPr>
          <w:rFonts w:hint="eastAsia" w:ascii="仿宋_GB2312" w:hAnsi="Calibri" w:eastAsia="仿宋_GB2312" w:cs="宋体"/>
          <w:b/>
          <w:sz w:val="32"/>
          <w:szCs w:val="32"/>
          <w:lang w:val="en-US" w:eastAsia="zh-CN"/>
        </w:rPr>
      </w:pPr>
      <w:r>
        <w:rPr>
          <w:rFonts w:hint="eastAsia" w:ascii="仿宋_GB2312" w:hAnsi="Calibri" w:eastAsia="仿宋_GB2312" w:cs="宋体"/>
          <w:b/>
          <w:sz w:val="32"/>
          <w:szCs w:val="32"/>
          <w:lang w:val="en-US" w:eastAsia="zh-CN"/>
        </w:rPr>
        <w:t>1、加强宣传，大力推广</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通过举办培训班、召开会议、发放宣传资料以及网络、微信、公众号等方式强化宣传，大力普及标准，营造贯彻标准的良好氛围，提高标准的社会关注度与知晓度，促进各相关企业准确理解、掌握和执行标准。</w:t>
      </w:r>
    </w:p>
    <w:p>
      <w:pPr>
        <w:autoSpaceDE w:val="0"/>
        <w:autoSpaceDN w:val="0"/>
        <w:adjustRightInd w:val="0"/>
        <w:spacing w:line="360" w:lineRule="auto"/>
        <w:ind w:firstLine="0" w:firstLineChars="0"/>
        <w:jc w:val="left"/>
        <w:rPr>
          <w:rFonts w:hint="eastAsia" w:ascii="仿宋_GB2312" w:hAnsi="Calibri" w:eastAsia="仿宋_GB2312" w:cs="宋体"/>
          <w:b/>
          <w:sz w:val="32"/>
          <w:szCs w:val="32"/>
          <w:lang w:val="en-US" w:eastAsia="zh-CN"/>
        </w:rPr>
      </w:pPr>
      <w:bookmarkStart w:id="2" w:name="_GoBack"/>
      <w:r>
        <w:rPr>
          <w:rFonts w:hint="eastAsia" w:ascii="仿宋_GB2312" w:hAnsi="Calibri" w:eastAsia="仿宋_GB2312" w:cs="宋体"/>
          <w:b/>
          <w:sz w:val="32"/>
          <w:szCs w:val="32"/>
          <w:lang w:val="en-US" w:eastAsia="zh-CN"/>
        </w:rPr>
        <w:t>2、政策倾向，加大扶持</w:t>
      </w:r>
    </w:p>
    <w:bookmarkEnd w:id="2"/>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加强政策引导，鼓励企业自行试点，在招标活动中积极采用本标准。</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建议本标准批准发布2天后实施。</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十一、废止现行相关标准的建议</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无。</w:t>
      </w:r>
    </w:p>
    <w:p>
      <w:pPr>
        <w:numPr>
          <w:ilvl w:val="0"/>
          <w:numId w:val="0"/>
        </w:numPr>
        <w:adjustRightInd w:val="0"/>
        <w:snapToGrid w:val="0"/>
        <w:spacing w:before="156" w:beforeLines="50" w:after="156" w:afterLines="50" w:line="400" w:lineRule="exact"/>
        <w:ind w:leftChars="0" w:firstLine="0" w:firstLineChars="0"/>
        <w:jc w:val="both"/>
        <w:rPr>
          <w:rFonts w:hint="eastAsia" w:ascii="仿宋_GB2312" w:hAnsi="黑体" w:eastAsia="仿宋_GB2312" w:cs="黑体"/>
          <w:b/>
          <w:bCs/>
          <w:kern w:val="0"/>
          <w:sz w:val="44"/>
          <w:szCs w:val="44"/>
        </w:rPr>
      </w:pPr>
      <w:r>
        <w:rPr>
          <w:rFonts w:hint="eastAsia" w:ascii="仿宋_GB2312" w:hAnsi="黑体" w:eastAsia="仿宋_GB2312" w:cs="黑体"/>
          <w:b/>
          <w:bCs/>
          <w:kern w:val="0"/>
          <w:sz w:val="44"/>
          <w:szCs w:val="44"/>
        </w:rPr>
        <w:t>十二、其他应予说明的事项</w:t>
      </w:r>
    </w:p>
    <w:p>
      <w:pPr>
        <w:autoSpaceDE w:val="0"/>
        <w:autoSpaceDN w:val="0"/>
        <w:adjustRightInd w:val="0"/>
        <w:spacing w:line="360" w:lineRule="auto"/>
        <w:ind w:firstLine="630" w:firstLineChars="225"/>
        <w:jc w:val="left"/>
        <w:rPr>
          <w:rFonts w:hint="eastAsia" w:ascii="仿宋_GB2312" w:hAnsi="Calibri" w:eastAsia="仿宋_GB2312" w:cs="宋体"/>
          <w:sz w:val="28"/>
          <w:szCs w:val="28"/>
        </w:rPr>
      </w:pPr>
      <w:r>
        <w:rPr>
          <w:rFonts w:hint="eastAsia" w:ascii="仿宋_GB2312" w:hAnsi="Calibri" w:eastAsia="仿宋_GB2312" w:cs="宋体"/>
          <w:sz w:val="28"/>
          <w:szCs w:val="28"/>
        </w:rPr>
        <w:t>无。</w:t>
      </w:r>
    </w:p>
    <w:p>
      <w:pPr>
        <w:ind w:firstLine="420"/>
      </w:pPr>
    </w:p>
    <w:p>
      <w:pPr>
        <w:ind w:firstLine="420"/>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hMDI0Y2Q1NzBiZjBhNDUxNDc5MzAyN2U1NTg4ZDEifQ=="/>
  </w:docVars>
  <w:rsids>
    <w:rsidRoot w:val="00E16584"/>
    <w:rsid w:val="0001740C"/>
    <w:rsid w:val="000518D3"/>
    <w:rsid w:val="00055B19"/>
    <w:rsid w:val="00065E3C"/>
    <w:rsid w:val="0007152C"/>
    <w:rsid w:val="000A19C3"/>
    <w:rsid w:val="000E3507"/>
    <w:rsid w:val="000E379C"/>
    <w:rsid w:val="000F2BBC"/>
    <w:rsid w:val="001100FD"/>
    <w:rsid w:val="001B3333"/>
    <w:rsid w:val="002142B4"/>
    <w:rsid w:val="00227117"/>
    <w:rsid w:val="00227DE5"/>
    <w:rsid w:val="00240DFB"/>
    <w:rsid w:val="00252229"/>
    <w:rsid w:val="002879BE"/>
    <w:rsid w:val="002E1CEC"/>
    <w:rsid w:val="002F3F4E"/>
    <w:rsid w:val="003245FD"/>
    <w:rsid w:val="0036777E"/>
    <w:rsid w:val="003B21F9"/>
    <w:rsid w:val="003C265D"/>
    <w:rsid w:val="003F194E"/>
    <w:rsid w:val="003F3FF5"/>
    <w:rsid w:val="00416CC1"/>
    <w:rsid w:val="00421089"/>
    <w:rsid w:val="00456E9C"/>
    <w:rsid w:val="004A217A"/>
    <w:rsid w:val="004C50C8"/>
    <w:rsid w:val="004E2400"/>
    <w:rsid w:val="004F64E4"/>
    <w:rsid w:val="00515AE9"/>
    <w:rsid w:val="00540BAC"/>
    <w:rsid w:val="00611CC1"/>
    <w:rsid w:val="00674F43"/>
    <w:rsid w:val="006971D6"/>
    <w:rsid w:val="00703435"/>
    <w:rsid w:val="007568C2"/>
    <w:rsid w:val="007B6997"/>
    <w:rsid w:val="007D6982"/>
    <w:rsid w:val="00841174"/>
    <w:rsid w:val="00893792"/>
    <w:rsid w:val="00984CD2"/>
    <w:rsid w:val="0099712D"/>
    <w:rsid w:val="009A113C"/>
    <w:rsid w:val="00A47519"/>
    <w:rsid w:val="00A55C0F"/>
    <w:rsid w:val="00AC2BAD"/>
    <w:rsid w:val="00AD380E"/>
    <w:rsid w:val="00B225D7"/>
    <w:rsid w:val="00B409A0"/>
    <w:rsid w:val="00B73349"/>
    <w:rsid w:val="00B92959"/>
    <w:rsid w:val="00BF6BCC"/>
    <w:rsid w:val="00C26B3F"/>
    <w:rsid w:val="00C44B81"/>
    <w:rsid w:val="00CF3DF4"/>
    <w:rsid w:val="00D52B2B"/>
    <w:rsid w:val="00DE53E9"/>
    <w:rsid w:val="00E14705"/>
    <w:rsid w:val="00E16584"/>
    <w:rsid w:val="00E32422"/>
    <w:rsid w:val="00E45B30"/>
    <w:rsid w:val="00E8663C"/>
    <w:rsid w:val="00EC45DA"/>
    <w:rsid w:val="00EF7129"/>
    <w:rsid w:val="00F57D26"/>
    <w:rsid w:val="00F85CBC"/>
    <w:rsid w:val="0B7E0D69"/>
    <w:rsid w:val="1EBF4828"/>
    <w:rsid w:val="2FA36872"/>
    <w:rsid w:val="68A5405F"/>
    <w:rsid w:val="6EFA59E4"/>
    <w:rsid w:val="7DA64C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keepNext/>
      <w:keepLines/>
      <w:spacing w:before="260" w:after="260" w:line="416" w:lineRule="auto"/>
      <w:outlineLvl w:val="2"/>
    </w:pPr>
    <w:rPr>
      <w:rFonts w:ascii="Calibri" w:hAnsi="Calibri" w:eastAsia="宋体" w:cs="Times New Roman"/>
      <w:b/>
      <w:bCs/>
      <w:sz w:val="32"/>
      <w:szCs w:val="32"/>
      <w:lang w:val="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标题 3 字符"/>
    <w:basedOn w:val="7"/>
    <w:link w:val="2"/>
    <w:qFormat/>
    <w:uiPriority w:val="9"/>
    <w:rPr>
      <w:rFonts w:ascii="Calibri" w:hAnsi="Calibri" w:eastAsia="宋体" w:cs="Times New Roman"/>
      <w:b/>
      <w:bCs/>
      <w:sz w:val="32"/>
      <w:szCs w:val="32"/>
      <w:lang w:val="zh-CN" w:eastAsia="zh-CN"/>
    </w:rPr>
  </w:style>
  <w:style w:type="paragraph" w:customStyle="1" w:styleId="13">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段 Char"/>
    <w:link w:val="13"/>
    <w:qFormat/>
    <w:uiPriority w:val="0"/>
    <w:rPr>
      <w:rFonts w:ascii="宋体" w:hAnsi="Times New Roman" w:eastAsia="宋体" w:cs="Times New Roman"/>
      <w:kern w:val="0"/>
      <w:szCs w:val="20"/>
    </w:rPr>
  </w:style>
  <w:style w:type="character" w:customStyle="1" w:styleId="15">
    <w:name w:val="批注框文本 字符"/>
    <w:basedOn w:val="7"/>
    <w:link w:val="4"/>
    <w:semiHidden/>
    <w:qFormat/>
    <w:uiPriority w:val="99"/>
    <w:rPr>
      <w:sz w:val="18"/>
      <w:szCs w:val="18"/>
    </w:rPr>
  </w:style>
  <w:style w:type="character" w:customStyle="1" w:styleId="16">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395</Words>
  <Characters>2258</Characters>
  <Lines>18</Lines>
  <Paragraphs>5</Paragraphs>
  <TotalTime>4</TotalTime>
  <ScaleCrop>false</ScaleCrop>
  <LinksUpToDate>false</LinksUpToDate>
  <CharactersWithSpaces>2648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2024-05-06T06:51:00Z</dcterms:created>
  <dc:creator>sunyi</dc:creator>
  <cp:lastModifiedBy>wh</cp:lastModifiedBy>
  <dcterms:modified xsi:type="dcterms:W3CDTF">2024-06-11T02:29:51Z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886EF8C08809457BA56891100CDA613F_13</vt:lpwstr>
  </property>
</Properties>
</file>