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DB41A">
      <w:pPr>
        <w:spacing w:before="170" w:line="228" w:lineRule="auto"/>
        <w:ind w:left="47"/>
        <w:rPr>
          <w:rFonts w:hint="eastAsia" w:ascii="方正黑体_GBK" w:hAnsi="方正黑体_GBK" w:eastAsia="方正黑体_GBK" w:cs="方正黑体_GBK"/>
          <w:sz w:val="31"/>
          <w:szCs w:val="31"/>
          <w:lang w:eastAsia="zh-CN"/>
        </w:rPr>
      </w:pPr>
      <w:r>
        <w:rPr>
          <w:rFonts w:ascii="方正黑体_GBK" w:hAnsi="方正黑体_GBK" w:eastAsia="方正黑体_GBK" w:cs="方正黑体_GBK"/>
          <w:spacing w:val="-10"/>
          <w:sz w:val="31"/>
          <w:szCs w:val="31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pacing w:val="-10"/>
          <w:sz w:val="31"/>
          <w:szCs w:val="31"/>
          <w:lang w:eastAsia="zh-CN"/>
        </w:rPr>
        <w:t>4</w:t>
      </w:r>
      <w:r>
        <w:rPr>
          <w:rFonts w:ascii="方正黑体_GBK" w:hAnsi="方正黑体_GBK" w:eastAsia="方正黑体_GBK" w:cs="方正黑体_GBK"/>
          <w:spacing w:val="-10"/>
          <w:sz w:val="31"/>
          <w:szCs w:val="31"/>
          <w:lang w:eastAsia="zh-CN"/>
        </w:rPr>
        <w:t>：</w:t>
      </w:r>
    </w:p>
    <w:p w14:paraId="58D3236F">
      <w:pPr>
        <w:spacing w:before="1" w:line="236" w:lineRule="auto"/>
        <w:ind w:left="1756"/>
        <w:outlineLvl w:val="0"/>
        <w:rPr>
          <w:rFonts w:hint="eastAsia" w:ascii="方正小标宋_GBK" w:hAnsi="方正小标宋_GBK" w:eastAsia="方正小标宋_GBK" w:cs="方正小标宋_GBK"/>
          <w:sz w:val="43"/>
          <w:szCs w:val="43"/>
          <w:lang w:eastAsia="zh-CN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  <w:lang w:eastAsia="zh-CN"/>
        </w:rPr>
        <w:t>创新解决方案赛规则</w:t>
      </w:r>
    </w:p>
    <w:p w14:paraId="370338EF">
      <w:pPr>
        <w:spacing w:line="450" w:lineRule="auto"/>
        <w:rPr>
          <w:lang w:eastAsia="zh-CN"/>
        </w:rPr>
      </w:pPr>
    </w:p>
    <w:p w14:paraId="11ABF9FA">
      <w:pPr>
        <w:spacing w:before="118" w:line="237" w:lineRule="auto"/>
        <w:ind w:left="675"/>
        <w:outlineLvl w:val="1"/>
        <w:rPr>
          <w:rFonts w:hint="eastAsia" w:ascii="方正黑体_GBK" w:hAnsi="方正黑体_GBK" w:eastAsia="方正黑体_GBK" w:cs="方正黑体_GBK"/>
          <w:sz w:val="31"/>
          <w:szCs w:val="31"/>
          <w:lang w:eastAsia="zh-CN"/>
        </w:rPr>
      </w:pPr>
      <w:r>
        <w:rPr>
          <w:rFonts w:ascii="方正黑体_GBK" w:hAnsi="方正黑体_GBK" w:eastAsia="方正黑体_GBK" w:cs="方正黑体_GBK"/>
          <w:spacing w:val="6"/>
          <w:sz w:val="31"/>
          <w:szCs w:val="31"/>
          <w:lang w:eastAsia="zh-CN"/>
        </w:rPr>
        <w:t>一、任务简介</w:t>
      </w:r>
    </w:p>
    <w:p w14:paraId="73E56737">
      <w:pPr>
        <w:spacing w:line="560" w:lineRule="exact"/>
        <w:ind w:firstLine="640" w:firstLineChars="200"/>
        <w:rPr>
          <w:rFonts w:ascii="方正仿宋_GBK" w:hAnsi="Times New Roman" w:eastAsia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对智能巡检和具身作业技术的创新方案进行征集评比。</w:t>
      </w: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参赛队伍针对当前电力智能巡检状态感知及健康诊断、运行维护、检修作业与应急管理、防灾减灾等业务场景（包括但不限于以上场景，参赛队伍自定）</w:t>
      </w:r>
      <w:r>
        <w:rPr>
          <w:rFonts w:hint="eastAsia" w:ascii="方正仿宋_GBK" w:hAnsi="Times New Roman" w:eastAsia="方正仿宋_GBK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制定创新解决方案，提出智能巡检作业创新成果，并提交论文、技术报告及测试报告等佐证材料。</w:t>
      </w:r>
    </w:p>
    <w:p w14:paraId="0AC82B09">
      <w:pPr>
        <w:spacing w:before="1" w:line="237" w:lineRule="auto"/>
        <w:ind w:firstLine="604" w:firstLineChars="200"/>
        <w:rPr>
          <w:rFonts w:hint="eastAsia" w:ascii="方正黑体_GBK" w:hAnsi="方正黑体_GBK" w:eastAsia="方正黑体_GBK" w:cs="方正黑体_GBK"/>
          <w:sz w:val="31"/>
          <w:szCs w:val="31"/>
          <w:lang w:eastAsia="zh-CN"/>
        </w:rPr>
      </w:pPr>
      <w:r>
        <w:rPr>
          <w:rFonts w:ascii="方正黑体_GBK" w:hAnsi="方正黑体_GBK" w:eastAsia="方正黑体_GBK" w:cs="方正黑体_GBK"/>
          <w:spacing w:val="-4"/>
          <w:sz w:val="31"/>
          <w:szCs w:val="31"/>
          <w:lang w:eastAsia="zh-CN"/>
        </w:rPr>
        <w:t>二、任务规则</w:t>
      </w:r>
    </w:p>
    <w:p w14:paraId="3C27C166">
      <w:pPr>
        <w:pStyle w:val="2"/>
        <w:spacing w:before="97" w:line="237" w:lineRule="auto"/>
        <w:ind w:left="700"/>
        <w:outlineLvl w:val="2"/>
        <w:rPr>
          <w:rFonts w:hint="eastAsia"/>
          <w:lang w:eastAsia="zh-CN"/>
        </w:rPr>
      </w:pPr>
      <w:r>
        <w:rPr>
          <w:b/>
          <w:bCs/>
          <w:spacing w:val="7"/>
          <w:lang w:eastAsia="zh-CN"/>
        </w:rPr>
        <w:t>1.竞赛形式</w:t>
      </w:r>
    </w:p>
    <w:p w14:paraId="5C334AAF">
      <w:pPr>
        <w:pStyle w:val="2"/>
        <w:spacing w:before="109" w:line="297" w:lineRule="auto"/>
        <w:ind w:left="33" w:right="182" w:firstLine="656"/>
        <w:jc w:val="both"/>
        <w:rPr>
          <w:rFonts w:hint="eastAsia"/>
          <w:lang w:eastAsia="zh-CN"/>
        </w:rPr>
      </w:pPr>
      <w:r>
        <w:rPr>
          <w:spacing w:val="-5"/>
          <w:lang w:eastAsia="zh-CN"/>
        </w:rPr>
        <w:t>竞赛形式为</w:t>
      </w:r>
      <w:r>
        <w:rPr>
          <w:rFonts w:hint="eastAsia"/>
          <w:b/>
          <w:bCs/>
          <w:spacing w:val="-5"/>
          <w:lang w:eastAsia="zh-CN"/>
        </w:rPr>
        <w:t>现场</w:t>
      </w:r>
      <w:r>
        <w:rPr>
          <w:b/>
          <w:bCs/>
          <w:spacing w:val="-5"/>
          <w:lang w:eastAsia="zh-CN"/>
        </w:rPr>
        <w:t>答辩</w:t>
      </w:r>
      <w:r>
        <w:rPr>
          <w:spacing w:val="-5"/>
          <w:lang w:eastAsia="zh-CN"/>
        </w:rPr>
        <w:t>，参赛队伍采用PPT、视频等形式，</w:t>
      </w:r>
      <w:r>
        <w:rPr>
          <w:spacing w:val="-4"/>
          <w:lang w:eastAsia="zh-CN"/>
        </w:rPr>
        <w:t>由1至2位核心成员讲解和答辩，讲解时长不超过2</w:t>
      </w:r>
      <w:r>
        <w:rPr>
          <w:spacing w:val="-5"/>
          <w:lang w:eastAsia="zh-CN"/>
        </w:rPr>
        <w:t>0分钟，</w:t>
      </w:r>
      <w:r>
        <w:rPr>
          <w:spacing w:val="2"/>
          <w:lang w:eastAsia="zh-CN"/>
        </w:rPr>
        <w:t>答辩时长不超过10分钟。</w:t>
      </w:r>
      <w:r>
        <w:rPr>
          <w:rFonts w:hint="eastAsia"/>
          <w:spacing w:val="2"/>
          <w:lang w:eastAsia="zh-CN"/>
        </w:rPr>
        <w:t>专家采用</w:t>
      </w:r>
      <w:r>
        <w:rPr>
          <w:rFonts w:hint="eastAsia"/>
          <w:b/>
          <w:bCs/>
          <w:spacing w:val="2"/>
          <w:lang w:eastAsia="zh-CN"/>
        </w:rPr>
        <w:t>线上</w:t>
      </w:r>
      <w:r>
        <w:rPr>
          <w:rFonts w:hint="eastAsia"/>
          <w:spacing w:val="2"/>
          <w:lang w:eastAsia="zh-CN"/>
        </w:rPr>
        <w:t>评审系统对方案进行评分。</w:t>
      </w:r>
    </w:p>
    <w:p w14:paraId="36C4F33E">
      <w:pPr>
        <w:pStyle w:val="2"/>
        <w:spacing w:before="1" w:line="238" w:lineRule="auto"/>
        <w:ind w:left="676"/>
        <w:outlineLvl w:val="2"/>
        <w:rPr>
          <w:rFonts w:hint="eastAsia"/>
          <w:lang w:eastAsia="zh-CN"/>
        </w:rPr>
      </w:pPr>
      <w:r>
        <w:rPr>
          <w:b/>
          <w:bCs/>
          <w:spacing w:val="2"/>
          <w:lang w:eastAsia="zh-CN"/>
        </w:rPr>
        <w:t>2.评审顺序</w:t>
      </w:r>
    </w:p>
    <w:p w14:paraId="3CB458EE">
      <w:pPr>
        <w:pStyle w:val="2"/>
        <w:spacing w:before="108" w:line="230" w:lineRule="auto"/>
        <w:ind w:left="710"/>
        <w:rPr>
          <w:rFonts w:hint="eastAsia"/>
          <w:lang w:eastAsia="zh-CN"/>
        </w:rPr>
      </w:pPr>
      <w:r>
        <w:rPr>
          <w:spacing w:val="-3"/>
          <w:lang w:eastAsia="zh-CN"/>
        </w:rPr>
        <w:t>以抽签结果为准。</w:t>
      </w:r>
    </w:p>
    <w:p w14:paraId="6DC48045">
      <w:pPr>
        <w:spacing w:before="122" w:line="238" w:lineRule="auto"/>
        <w:ind w:left="678"/>
        <w:rPr>
          <w:rFonts w:hint="eastAsia" w:ascii="方正黑体_GBK" w:hAnsi="方正黑体_GBK" w:eastAsia="方正黑体_GBK" w:cs="方正黑体_GBK"/>
          <w:sz w:val="31"/>
          <w:szCs w:val="31"/>
          <w:lang w:eastAsia="zh-CN"/>
        </w:rPr>
      </w:pPr>
      <w:r>
        <w:rPr>
          <w:rFonts w:ascii="方正黑体_GBK" w:hAnsi="方正黑体_GBK" w:eastAsia="方正黑体_GBK" w:cs="方正黑体_GBK"/>
          <w:spacing w:val="4"/>
          <w:sz w:val="31"/>
          <w:szCs w:val="31"/>
          <w:lang w:eastAsia="zh-CN"/>
        </w:rPr>
        <w:t>三、评价指标</w:t>
      </w:r>
    </w:p>
    <w:p w14:paraId="2679C0CB">
      <w:pPr>
        <w:pStyle w:val="2"/>
        <w:spacing w:before="94" w:line="297" w:lineRule="auto"/>
        <w:ind w:left="44" w:right="118" w:firstLine="631"/>
        <w:rPr>
          <w:rFonts w:hint="eastAsia"/>
          <w:lang w:eastAsia="zh-CN"/>
        </w:rPr>
      </w:pPr>
      <w:r>
        <w:rPr>
          <w:spacing w:val="6"/>
          <w:lang w:eastAsia="zh-CN"/>
        </w:rPr>
        <w:t>从</w:t>
      </w:r>
      <w:r>
        <w:rPr>
          <w:b/>
          <w:bCs/>
          <w:spacing w:val="6"/>
          <w:lang w:eastAsia="zh-CN"/>
        </w:rPr>
        <w:t>创新性</w:t>
      </w:r>
      <w:r>
        <w:rPr>
          <w:spacing w:val="6"/>
          <w:lang w:eastAsia="zh-CN"/>
        </w:rPr>
        <w:t>、</w:t>
      </w:r>
      <w:r>
        <w:rPr>
          <w:b/>
          <w:bCs/>
          <w:spacing w:val="6"/>
          <w:lang w:eastAsia="zh-CN"/>
        </w:rPr>
        <w:t>实用性</w:t>
      </w:r>
      <w:r>
        <w:rPr>
          <w:spacing w:val="6"/>
          <w:lang w:eastAsia="zh-CN"/>
        </w:rPr>
        <w:t>、</w:t>
      </w:r>
      <w:r>
        <w:rPr>
          <w:b/>
          <w:bCs/>
          <w:spacing w:val="6"/>
          <w:lang w:eastAsia="zh-CN"/>
        </w:rPr>
        <w:t>可推广性</w:t>
      </w:r>
      <w:r>
        <w:rPr>
          <w:spacing w:val="6"/>
          <w:lang w:eastAsia="zh-CN"/>
        </w:rPr>
        <w:t>、</w:t>
      </w:r>
      <w:r>
        <w:rPr>
          <w:b/>
          <w:bCs/>
          <w:spacing w:val="6"/>
          <w:lang w:eastAsia="zh-CN"/>
        </w:rPr>
        <w:t>安全性</w:t>
      </w:r>
      <w:r>
        <w:rPr>
          <w:spacing w:val="6"/>
          <w:lang w:eastAsia="zh-CN"/>
        </w:rPr>
        <w:t>和</w:t>
      </w:r>
      <w:r>
        <w:rPr>
          <w:b/>
          <w:bCs/>
          <w:spacing w:val="6"/>
          <w:lang w:eastAsia="zh-CN"/>
        </w:rPr>
        <w:t>演示效果</w:t>
      </w:r>
      <w:r>
        <w:rPr>
          <w:spacing w:val="6"/>
          <w:lang w:eastAsia="zh-CN"/>
        </w:rPr>
        <w:t>等方</w:t>
      </w:r>
      <w:r>
        <w:rPr>
          <w:lang w:eastAsia="zh-CN"/>
        </w:rPr>
        <w:t>面进行综合评估。</w:t>
      </w:r>
    </w:p>
    <w:p w14:paraId="27E5EA9D">
      <w:pPr>
        <w:pStyle w:val="2"/>
        <w:spacing w:line="237" w:lineRule="auto"/>
        <w:jc w:val="right"/>
        <w:rPr>
          <w:rFonts w:hint="eastAsia"/>
          <w:lang w:eastAsia="zh-CN"/>
        </w:rPr>
      </w:pPr>
      <w:r>
        <w:rPr>
          <w:b/>
          <w:bCs/>
          <w:spacing w:val="13"/>
          <w:lang w:eastAsia="zh-CN"/>
        </w:rPr>
        <w:t>创新性</w:t>
      </w:r>
      <w:r>
        <w:rPr>
          <w:spacing w:val="13"/>
          <w:lang w:eastAsia="zh-CN"/>
        </w:rPr>
        <w:t>主要考察场景价值、技术新颖性、技术先</w:t>
      </w:r>
      <w:r>
        <w:rPr>
          <w:spacing w:val="12"/>
          <w:lang w:eastAsia="zh-CN"/>
        </w:rPr>
        <w:t>进性。</w:t>
      </w:r>
    </w:p>
    <w:p w14:paraId="3A664BB9">
      <w:pPr>
        <w:pStyle w:val="2"/>
        <w:spacing w:before="110" w:line="297" w:lineRule="auto"/>
        <w:ind w:left="30" w:firstLine="660"/>
        <w:rPr>
          <w:rFonts w:hint="eastAsia"/>
          <w:lang w:eastAsia="zh-CN"/>
        </w:rPr>
      </w:pPr>
      <w:r>
        <w:rPr>
          <w:b/>
          <w:bCs/>
          <w:spacing w:val="12"/>
          <w:lang w:eastAsia="zh-CN"/>
        </w:rPr>
        <w:t>实用性</w:t>
      </w:r>
      <w:r>
        <w:rPr>
          <w:spacing w:val="12"/>
          <w:lang w:eastAsia="zh-CN"/>
        </w:rPr>
        <w:t>主要考察问题解决程度、与现有体系的适用性、</w:t>
      </w:r>
      <w:r>
        <w:rPr>
          <w:spacing w:val="2"/>
          <w:lang w:eastAsia="zh-CN"/>
        </w:rPr>
        <w:t>设计人性化。</w:t>
      </w:r>
    </w:p>
    <w:p w14:paraId="5A07ABD5">
      <w:pPr>
        <w:pStyle w:val="2"/>
        <w:spacing w:before="1" w:line="231" w:lineRule="auto"/>
        <w:ind w:left="687"/>
        <w:rPr>
          <w:spacing w:val="6"/>
          <w:lang w:eastAsia="zh-CN"/>
        </w:rPr>
      </w:pPr>
      <w:r>
        <w:rPr>
          <w:b/>
          <w:bCs/>
          <w:spacing w:val="6"/>
          <w:lang w:eastAsia="zh-CN"/>
        </w:rPr>
        <w:t>可推广性</w:t>
      </w:r>
      <w:r>
        <w:rPr>
          <w:spacing w:val="6"/>
          <w:lang w:eastAsia="zh-CN"/>
        </w:rPr>
        <w:t>主要考察方案的可实施性和市场前景。</w:t>
      </w:r>
    </w:p>
    <w:p w14:paraId="378F7BAA">
      <w:pPr>
        <w:pStyle w:val="2"/>
        <w:spacing w:before="175" w:line="234" w:lineRule="auto"/>
        <w:ind w:firstLine="646" w:firstLineChars="200"/>
        <w:rPr>
          <w:rFonts w:hint="eastAsia"/>
        </w:rPr>
      </w:pPr>
      <w:r>
        <w:rPr>
          <w:b/>
          <w:bCs/>
          <w:spacing w:val="6"/>
        </w:rPr>
        <w:t>安全性</w:t>
      </w:r>
      <w:r>
        <w:rPr>
          <w:spacing w:val="6"/>
        </w:rPr>
        <w:t>主要考察方案的自主可控水平。</w:t>
      </w:r>
    </w:p>
    <w:p w14:paraId="514B0894">
      <w:pPr>
        <w:pStyle w:val="2"/>
        <w:spacing w:before="116" w:line="229" w:lineRule="auto"/>
        <w:ind w:left="687"/>
        <w:rPr>
          <w:rFonts w:hint="eastAsia"/>
          <w:lang w:eastAsia="zh-CN"/>
        </w:rPr>
      </w:pPr>
      <w:r>
        <w:rPr>
          <w:b/>
          <w:bCs/>
          <w:spacing w:val="6"/>
          <w:lang w:eastAsia="zh-CN"/>
        </w:rPr>
        <w:t>演示效果</w:t>
      </w:r>
      <w:r>
        <w:rPr>
          <w:spacing w:val="6"/>
          <w:lang w:eastAsia="zh-CN"/>
        </w:rPr>
        <w:t>主要考察申报材料质量和讲解答辩效果。</w:t>
      </w:r>
      <w:bookmarkStart w:id="0" w:name="_GoBack"/>
      <w:bookmarkEnd w:id="0"/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F05393"/>
    <w:rsid w:val="008E122F"/>
    <w:rsid w:val="00A2036D"/>
    <w:rsid w:val="00AC7FB0"/>
    <w:rsid w:val="00F05393"/>
    <w:rsid w:val="12237A0A"/>
    <w:rsid w:val="1D507489"/>
    <w:rsid w:val="1F8C3DA8"/>
    <w:rsid w:val="3B0574E5"/>
    <w:rsid w:val="48E87ECF"/>
    <w:rsid w:val="58AB5080"/>
    <w:rsid w:val="60F8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415</Characters>
  <Lines>3</Lines>
  <Paragraphs>1</Paragraphs>
  <TotalTime>29</TotalTime>
  <ScaleCrop>false</ScaleCrop>
  <LinksUpToDate>false</LinksUpToDate>
  <CharactersWithSpaces>415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2024-12-19T13:23:00Z</dcterms:created>
  <dc:creator>shang</dc:creator>
  <cp:lastModifiedBy>swt</cp:lastModifiedBy>
  <dcterms:modified xsi:type="dcterms:W3CDTF">2025-10-20T07:04:59Z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2025-09-25T11:28:52Z</vt:filetime>
  </property>
  <property fmtid="{D5CDD505-2E9C-101B-9397-08002B2CF9AE}" pid="4" name="KSOTemplateDocerSaveRecord">
    <vt:lpwstr>eyJoZGlkIjoiN2M0ZWQxYTRmNGFmY2RmZjc5OGU4YWRiMTQyNGYyODQiLCJ1c2VySWQiOiI3Mzg1NDkwNDMifQ==</vt:lpwstr>
  </property>
  <property fmtid="{D5CDD505-2E9C-101B-9397-08002B2CF9AE}" pid="5" name="KSOProductBuildVer">
    <vt:lpwstr>2052-12.1.0.22175</vt:lpwstr>
  </property>
  <property fmtid="{D5CDD505-2E9C-101B-9397-08002B2CF9AE}" pid="6" name="ICV">
    <vt:lpwstr>BFA69D24337A49F793AB8F02AA1C96C2_12</vt:lpwstr>
  </property>
</Properties>
</file>