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AB35">
      <w:pPr>
        <w:jc w:val="center"/>
        <w:rPr>
          <w:rFonts w:ascii="宋体" w:hAnsi="宋体" w:eastAsia="宋体" w:cs="宋体"/>
          <w:b/>
          <w:sz w:val="32"/>
          <w:szCs w:val="32"/>
        </w:rPr>
      </w:pPr>
      <w:bookmarkStart w:id="0" w:name="_GoBack"/>
      <w:r>
        <w:rPr>
          <w:rFonts w:hint="eastAsia" w:ascii="宋体" w:hAnsi="宋体" w:eastAsia="宋体" w:cs="宋体"/>
          <w:b/>
          <w:sz w:val="32"/>
          <w:szCs w:val="32"/>
        </w:rPr>
        <w:t>专委会团体标准制（修）定计划项目征集内容及体系范畴</w:t>
      </w:r>
    </w:p>
    <w:bookmarkEnd w:id="0"/>
    <w:p w14:paraId="2856B80B">
      <w:pPr>
        <w:spacing w:line="480" w:lineRule="exact"/>
        <w:ind w:firstLine="560" w:firstLineChars="200"/>
        <w:rPr>
          <w:rFonts w:ascii="仿宋" w:hAnsi="仿宋" w:eastAsia="仿宋" w:cs="仿宋"/>
          <w:color w:val="1F2329"/>
          <w:kern w:val="0"/>
          <w:sz w:val="28"/>
          <w:szCs w:val="28"/>
          <w:shd w:val="clear" w:color="auto" w:fill="FFFFFF"/>
        </w:rPr>
      </w:pPr>
    </w:p>
    <w:p w14:paraId="21DF42C8">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中国能源研究会能源装备智能检修与安全运行专业委员会2026年度将聚焦输电、变电、配电、火电、风电、光伏、氢能、储能等核心设备及电力生产中的智能检修与安全运行核心环节，征集相关的管理方法、试验方法、技术导则、技术规程、管理规范、技术规范、评价规范、技术要求、技术指南、应用指南等团体标准的制（修）定计划项目，包含但不限于以下内容</w:t>
      </w:r>
    </w:p>
    <w:p w14:paraId="0D11C2C2">
      <w:pPr>
        <w:pStyle w:val="4"/>
        <w:spacing w:line="480" w:lineRule="exact"/>
        <w:ind w:firstLine="56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一、总体范畴</w:t>
      </w:r>
    </w:p>
    <w:p w14:paraId="7D69469E">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1.能源装备智能检测技术（含红外、超声、振动、油液分析、无损检测等）及试验方法；</w:t>
      </w:r>
    </w:p>
    <w:p w14:paraId="4AC719CD">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2.能源装备故障诊断、预测性维护算法模型及应用指南；</w:t>
      </w:r>
    </w:p>
    <w:p w14:paraId="5335B7CC">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3.检修机器人、无人机等智能装备在能源装备检修中的应用技术规程；</w:t>
      </w:r>
    </w:p>
    <w:p w14:paraId="4ED8DD48">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4.能源装备智能检修数字化平台（含工单管理、资源调度、过程追溯等）建设与运行规范；</w:t>
      </w:r>
    </w:p>
    <w:p w14:paraId="70ADFAA1">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5.能源装备运行安全风险评估、分级及管控方法；</w:t>
      </w:r>
    </w:p>
    <w:p w14:paraId="5D74ECC5">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6.能源装备运行与智能检修突发安全事件应急处置流程、救援技术要求及预案编制规范；</w:t>
      </w:r>
    </w:p>
    <w:p w14:paraId="69AC2C30">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7.能源装备智能检修与安全运行相关人员资质考核、技能评定、绩效评价规范等。</w:t>
      </w:r>
    </w:p>
    <w:p w14:paraId="0D28197D">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二、专项标准体系范畴</w:t>
      </w:r>
    </w:p>
    <w:p w14:paraId="5666810A">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专委会聚焦电网智能检修与安全运行核心环节，开展专项技术标准体系研究及初步框架的建设，可参考以下体系范畴进行申报：</w:t>
      </w:r>
    </w:p>
    <w:p w14:paraId="3571320D">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 xml:space="preserve">1.电网卫星遥感技术应用标准体系，包括基础综合、卫星通用和场景应用3个子标准体系。主要包含电网卫星遥感技术应用标准建设所需的总体性、通用性的标准和规范，分为术语与定义、通用基础、安全管理、数据管理等系列标准，电网卫星遥感技术基础通用标准和卫星遥感技术应用于电网不同场景的标准和规范，分为规划设计、施工建设、运维检修、灾害应急等模块。 </w:t>
      </w:r>
    </w:p>
    <w:p w14:paraId="5299F942">
      <w:pPr>
        <w:jc w:val="center"/>
        <w:rPr>
          <w:rFonts w:ascii="楷体" w:hAnsi="楷体" w:eastAsia="楷体" w:cs="Arial"/>
          <w:color w:val="1F2329"/>
          <w:kern w:val="0"/>
          <w:sz w:val="28"/>
          <w:szCs w:val="28"/>
          <w:shd w:val="clear" w:color="auto" w:fill="FFFFFF"/>
        </w:rPr>
      </w:pPr>
      <w:r>
        <w:rPr>
          <w:rFonts w:hint="eastAsia" w:ascii="楷体" w:hAnsi="楷体" w:eastAsia="楷体" w:cs="Arial"/>
          <w:color w:val="1F2329"/>
          <w:kern w:val="0"/>
          <w:sz w:val="28"/>
          <w:szCs w:val="28"/>
          <w:shd w:val="clear" w:color="auto" w:fill="FFFFFF"/>
        </w:rPr>
        <w:drawing>
          <wp:anchor distT="0" distB="0" distL="114300" distR="114300" simplePos="0" relativeHeight="251659264" behindDoc="0" locked="0" layoutInCell="1" allowOverlap="1">
            <wp:simplePos x="0" y="0"/>
            <wp:positionH relativeFrom="column">
              <wp:posOffset>644525</wp:posOffset>
            </wp:positionH>
            <wp:positionV relativeFrom="paragraph">
              <wp:posOffset>107315</wp:posOffset>
            </wp:positionV>
            <wp:extent cx="4458335" cy="3943350"/>
            <wp:effectExtent l="0" t="0" r="1841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58335" cy="3943350"/>
                    </a:xfrm>
                    <a:prstGeom prst="rect">
                      <a:avLst/>
                    </a:prstGeom>
                    <a:noFill/>
                  </pic:spPr>
                </pic:pic>
              </a:graphicData>
            </a:graphic>
          </wp:anchor>
        </w:drawing>
      </w:r>
      <w:r>
        <w:rPr>
          <w:rFonts w:hint="eastAsia" w:ascii="楷体" w:hAnsi="楷体" w:eastAsia="楷体" w:cs="Arial"/>
          <w:color w:val="1F2329"/>
          <w:kern w:val="0"/>
          <w:sz w:val="28"/>
          <w:szCs w:val="28"/>
          <w:shd w:val="clear" w:color="auto" w:fill="FFFFFF"/>
        </w:rPr>
        <w:t>图1：电网卫星遥感技术应用标准体系框架</w:t>
      </w:r>
    </w:p>
    <w:p w14:paraId="77FC3F53">
      <w:pPr>
        <w:spacing w:line="480" w:lineRule="exact"/>
        <w:ind w:firstLine="560" w:firstLineChars="200"/>
        <w:rPr>
          <w:rFonts w:ascii="仿宋" w:hAnsi="仿宋" w:eastAsia="仿宋" w:cs="仿宋"/>
          <w:color w:val="1F2329"/>
          <w:kern w:val="0"/>
          <w:sz w:val="28"/>
          <w:szCs w:val="28"/>
          <w:shd w:val="clear" w:color="auto" w:fill="FFFFFF"/>
        </w:rPr>
      </w:pPr>
      <w:r>
        <w:rPr>
          <w:rFonts w:hint="eastAsia" w:ascii="仿宋" w:hAnsi="仿宋" w:eastAsia="仿宋" w:cs="仿宋"/>
          <w:color w:val="1F2329"/>
          <w:kern w:val="0"/>
          <w:sz w:val="28"/>
          <w:szCs w:val="28"/>
          <w:shd w:val="clear" w:color="auto" w:fill="FFFFFF"/>
        </w:rPr>
        <w:t>2.电网无人机检测检修应用与创新工法标准系列，包括基础通过类、无人机运载类、检测类、检修类和其他类，总体架构如图所示。根据无人机作业平台的用途及对电网设备设施开展运维检修作业类型的不同，专业应用场景分为无人机运载类、检测类、检修类和其他类四个子体系。</w:t>
      </w:r>
    </w:p>
    <w:p w14:paraId="23165801">
      <w:pPr>
        <w:rPr>
          <w:rFonts w:ascii="仿宋" w:hAnsi="仿宋" w:eastAsia="仿宋" w:cs="Arial"/>
          <w:color w:val="1F2329"/>
          <w:kern w:val="0"/>
          <w:sz w:val="28"/>
          <w:szCs w:val="28"/>
          <w:shd w:val="clear" w:color="auto" w:fill="FFFFFF"/>
        </w:rPr>
      </w:pPr>
      <w:r>
        <w:rPr>
          <w:rFonts w:ascii="仿宋" w:hAnsi="仿宋" w:eastAsia="仿宋" w:cs="Arial"/>
          <w:color w:val="1F2329"/>
          <w:kern w:val="0"/>
          <w:sz w:val="28"/>
          <w:szCs w:val="28"/>
          <w:shd w:val="clear" w:color="auto" w:fill="FFFFFF"/>
        </w:rPr>
        <w:t xml:space="preserve"> </w:t>
      </w:r>
      <w:r>
        <w:rPr>
          <w:rFonts w:ascii="仿宋" w:hAnsi="仿宋" w:eastAsia="仿宋" w:cs="Arial"/>
          <w:color w:val="1F2329"/>
          <w:kern w:val="0"/>
          <w:sz w:val="28"/>
          <w:szCs w:val="28"/>
          <w:shd w:val="clear" w:color="auto" w:fill="FFFFFF"/>
        </w:rPr>
        <w:drawing>
          <wp:inline distT="0" distB="0" distL="0" distR="0">
            <wp:extent cx="5346700" cy="2877820"/>
            <wp:effectExtent l="0" t="0" r="6350"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46700" cy="2877820"/>
                    </a:xfrm>
                    <a:prstGeom prst="rect">
                      <a:avLst/>
                    </a:prstGeom>
                    <a:noFill/>
                  </pic:spPr>
                </pic:pic>
              </a:graphicData>
            </a:graphic>
          </wp:inline>
        </w:drawing>
      </w:r>
    </w:p>
    <w:p w14:paraId="2B3AD3CA">
      <w:pPr>
        <w:jc w:val="center"/>
        <w:rPr>
          <w:rFonts w:ascii="楷体" w:hAnsi="楷体" w:eastAsia="楷体" w:cs="Arial"/>
          <w:color w:val="1F2329"/>
          <w:kern w:val="0"/>
          <w:sz w:val="28"/>
          <w:szCs w:val="28"/>
          <w:shd w:val="clear" w:color="auto" w:fill="FFFFFF"/>
        </w:rPr>
      </w:pPr>
      <w:r>
        <w:rPr>
          <w:rFonts w:hint="eastAsia" w:ascii="楷体" w:hAnsi="楷体" w:eastAsia="楷体" w:cs="Arial"/>
          <w:color w:val="1F2329"/>
          <w:kern w:val="0"/>
          <w:sz w:val="28"/>
          <w:szCs w:val="28"/>
          <w:shd w:val="clear" w:color="auto" w:fill="FFFFFF"/>
        </w:rPr>
        <w:t>图</w:t>
      </w:r>
      <w:r>
        <w:rPr>
          <w:rFonts w:ascii="楷体" w:hAnsi="楷体" w:eastAsia="楷体" w:cs="Arial"/>
          <w:color w:val="1F2329"/>
          <w:kern w:val="0"/>
          <w:sz w:val="28"/>
          <w:szCs w:val="28"/>
          <w:shd w:val="clear" w:color="auto" w:fill="FFFFFF"/>
        </w:rPr>
        <w:t>2：</w:t>
      </w:r>
      <w:r>
        <w:rPr>
          <w:rFonts w:hint="eastAsia" w:ascii="楷体" w:hAnsi="楷体" w:eastAsia="楷体" w:cs="Arial"/>
          <w:color w:val="1F2329"/>
          <w:kern w:val="0"/>
          <w:sz w:val="28"/>
          <w:szCs w:val="28"/>
          <w:shd w:val="clear" w:color="auto" w:fill="FFFFFF"/>
        </w:rPr>
        <w:t>电网无人机检测检修应用与创新工法标准体系框架</w:t>
      </w:r>
    </w:p>
    <w:p w14:paraId="0ADBB36B">
      <w:pPr>
        <w:ind w:firstLine="560" w:firstLineChars="200"/>
        <w:rPr>
          <w:rFonts w:ascii="仿宋" w:hAnsi="仿宋" w:eastAsia="仿宋" w:cs="Arial"/>
          <w:color w:val="1F2329"/>
          <w:kern w:val="0"/>
          <w:sz w:val="28"/>
          <w:szCs w:val="28"/>
          <w:shd w:val="clear" w:color="auto" w:fill="FFFFFF"/>
        </w:rPr>
      </w:pPr>
    </w:p>
    <w:p w14:paraId="297ECAD7">
      <w:pPr>
        <w:spacing w:line="480" w:lineRule="exact"/>
        <w:ind w:firstLine="560" w:firstLineChars="200"/>
        <w:rPr>
          <w:rFonts w:ascii="仿宋" w:hAnsi="仿宋" w:eastAsia="仿宋" w:cs="Arial"/>
          <w:color w:val="1F2329"/>
          <w:kern w:val="0"/>
          <w:sz w:val="28"/>
          <w:szCs w:val="28"/>
          <w:shd w:val="clear" w:color="auto" w:fill="FFFFFF"/>
        </w:rPr>
      </w:pPr>
      <w:r>
        <w:rPr>
          <w:rFonts w:hint="eastAsia" w:ascii="仿宋" w:hAnsi="仿宋" w:eastAsia="仿宋" w:cs="Arial"/>
          <w:color w:val="1F2329"/>
          <w:kern w:val="0"/>
          <w:sz w:val="28"/>
          <w:szCs w:val="28"/>
          <w:shd w:val="clear" w:color="auto" w:fill="FFFFFF"/>
        </w:rPr>
        <w:t>三、不停电检修作业工法系列标准，包含输电、变电和配电、低压等电力不停电检修作业（带电作业、无人机作业、机器人作业等）领域内，基于电力不停电作业机械化、数字化、智能化作业创新工法以及创新工法中使用的新装备、新工具及新工艺的技术要求、使用方法、工艺流程等。</w:t>
      </w:r>
    </w:p>
    <w:p w14:paraId="5E73B1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35CB2"/>
    <w:rsid w:val="7A23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2026-01-22T06:47:00Z</dcterms:created>
  <dc:creator>雪雪</dc:creator>
  <cp:lastModifiedBy>雪雪</cp:lastModifiedBy>
  <dcterms:modified xsi:type="dcterms:W3CDTF">2026-01-22T06:47:34Z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5AC3BBD2EF194C5AB89C2205B63F14CC_11</vt:lpwstr>
  </property>
  <property fmtid="{D5CDD505-2E9C-101B-9397-08002B2CF9AE}" pid="4" name="KSOTemplateDocerSaveRecord">
    <vt:lpwstr>eyJoZGlkIjoiZGZlZjFhMmE2MDlkMzNiMTE5NzlkY2VlMzU5YWM1ZGYiLCJ1c2VySWQiOiI0MjIzNjY1NjMifQ==</vt:lpwstr>
  </property>
</Properties>
</file>