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0"/>
          <w:szCs w:val="30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</w:rPr>
        <w:t>附件4</w:t>
      </w:r>
    </w:p>
    <w:p>
      <w:pPr>
        <w:spacing w:after="156" w:afterLines="50" w:line="530" w:lineRule="exact"/>
        <w:jc w:val="center"/>
        <w:rPr>
          <w:rFonts w:hint="eastAsia" w:ascii="华文中宋" w:hAnsi="华文中宋" w:eastAsia="华文中宋" w:cs="仿宋"/>
          <w:b/>
          <w:color w:val="000000"/>
          <w:kern w:val="0"/>
          <w:sz w:val="36"/>
          <w:szCs w:val="32"/>
        </w:rPr>
      </w:pPr>
      <w:r>
        <w:rPr>
          <w:rFonts w:hint="eastAsia" w:ascii="华文中宋" w:hAnsi="华文中宋" w:eastAsia="华文中宋" w:cs="仿宋"/>
          <w:b/>
          <w:color w:val="000000"/>
          <w:kern w:val="0"/>
          <w:sz w:val="36"/>
          <w:szCs w:val="32"/>
        </w:rPr>
        <w:t>表4  ___省公司带电检测设备投入及检测有效性统计表</w:t>
      </w:r>
    </w:p>
    <w:tbl>
      <w:tblPr>
        <w:tblStyle w:val="3"/>
        <w:tblW w:w="92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897"/>
        <w:gridCol w:w="43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年  度</w:t>
            </w:r>
          </w:p>
        </w:tc>
        <w:tc>
          <w:tcPr>
            <w:tcW w:w="3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新投入的带电检测设备投资（万元）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通过带电检测方法发现故障数量（个）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E58C2"/>
    <w:rsid w:val="525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2018-09-28T01:14:00Z</dcterms:created>
  <dc:creator>kyon</dc:creator>
  <cp:lastModifiedBy>kyon</cp:lastModifiedBy>
  <dcterms:modified xsi:type="dcterms:W3CDTF">2018-09-28T01:14:32Z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