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bookmarkStart w:id="0" w:name="_Hlk73694862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20" w:afterLines="50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论坛内容方向</w:t>
      </w:r>
    </w:p>
    <w:bookmarkEnd w:id="0"/>
    <w:tbl>
      <w:tblPr>
        <w:tblStyle w:val="3"/>
        <w:tblpPr w:leftFromText="180" w:rightFromText="180" w:vertAnchor="text" w:horzAnchor="page" w:tblpXSpec="center" w:tblpY="151"/>
        <w:tblW w:w="87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835"/>
        <w:gridCol w:w="1559"/>
        <w:gridCol w:w="1843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40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1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bookmarkStart w:id="1" w:name="_Hlk73694995"/>
            <w:r>
              <w:rPr>
                <w:rFonts w:ascii="仿宋" w:hAnsi="仿宋" w:eastAsia="仿宋" w:cs="Times New Roman"/>
                <w:b/>
                <w:bCs/>
                <w:szCs w:val="21"/>
              </w:rPr>
              <w:t>类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283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843" w:firstLineChars="4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szCs w:val="21"/>
              </w:rPr>
              <w:t>内容方向</w:t>
            </w:r>
          </w:p>
        </w:tc>
        <w:tc>
          <w:tcPr>
            <w:tcW w:w="155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1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szCs w:val="21"/>
              </w:rPr>
              <w:t>时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bCs/>
                <w:szCs w:val="21"/>
              </w:rPr>
              <w:t xml:space="preserve"> 间</w:t>
            </w:r>
          </w:p>
        </w:tc>
        <w:tc>
          <w:tcPr>
            <w:tcW w:w="184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1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szCs w:val="21"/>
              </w:rPr>
              <w:t>结构与数量</w:t>
            </w:r>
          </w:p>
        </w:tc>
        <w:tc>
          <w:tcPr>
            <w:tcW w:w="113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szCs w:val="21"/>
              </w:rPr>
              <w:t>负责专家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主旨论坛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“十四五”规划与数字化转型战略目标下，机器人行业发展态势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8月13日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9:00-12:00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专家报告（4个）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孙  杨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王洪光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专题论坛一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电力机器人行业应用经验与应用成果介绍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8月13日</w:t>
            </w:r>
            <w:r>
              <w:rPr>
                <w:rFonts w:ascii="仿宋" w:hAnsi="仿宋" w:eastAsia="仿宋" w:cs="Times New Roman"/>
                <w:szCs w:val="21"/>
              </w:rPr>
              <w:br w:type="textWrapping"/>
            </w:r>
            <w:r>
              <w:rPr>
                <w:rFonts w:ascii="仿宋" w:hAnsi="仿宋" w:eastAsia="仿宋" w:cs="Times New Roman"/>
                <w:szCs w:val="21"/>
              </w:rPr>
              <w:t>14:00-17:30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专家报告（6个）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牛  捷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田孝华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专题论坛二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机器人行业共性关键技术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Cs w:val="21"/>
              </w:rPr>
              <w:t>成功应用成果分享</w:t>
            </w:r>
          </w:p>
        </w:tc>
        <w:tc>
          <w:tcPr>
            <w:tcW w:w="1559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专家报告（6个）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丁  宁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宋爱国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专题论坛三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电力机器人行业检测与标准方面的机遇与挑战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8月14日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9:00-12:00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专家报告（4个）    +沙龙活动      （3个讨论议题）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蔡焕青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李  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专题论坛四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数字化发展下，电力领域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Cs w:val="21"/>
              </w:rPr>
              <w:t xml:space="preserve"> 机器人应用场景展望</w:t>
            </w:r>
          </w:p>
        </w:tc>
        <w:tc>
          <w:tcPr>
            <w:tcW w:w="1559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专家报告（4个）+沙龙活动    （3个讨论议题）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王建中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参观观摩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8月14日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14:00-17:30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</w:p>
        </w:tc>
      </w:tr>
      <w:bookmarkEnd w:id="1"/>
    </w:tbl>
    <w:p>
      <w:pPr>
        <w:widowControl w:val="0"/>
        <w:spacing w:line="520" w:lineRule="exact"/>
        <w:jc w:val="both"/>
        <w:rPr>
          <w:rFonts w:ascii="仿宋" w:hAnsi="仿宋" w:eastAsia="仿宋" w:cs="Times New Roman"/>
          <w:szCs w:val="21"/>
        </w:rPr>
      </w:pPr>
    </w:p>
    <w:p>
      <w:bookmarkStart w:id="2" w:name="_GoBack"/>
      <w:bookmarkEnd w:id="2"/>
    </w:p>
    <w:sectPr>
      <w:footerReference r:id="rId5" w:type="default"/>
      <w:footerReference r:id="rId6" w:type="even"/>
      <w:pgSz w:w="11906" w:h="16838"/>
      <w:pgMar w:top="1531" w:right="1588" w:bottom="1531" w:left="1474" w:header="851" w:footer="992" w:gutter="0"/>
      <w:pgNumType w:fmt="numberInDash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597428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22051235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10 -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2021-06-15T03:04:29Z</dcterms:created>
  <dc:creator>EPTC</dc:creator>
  <cp:lastModifiedBy>EPTC</cp:lastModifiedBy>
  <dcterms:modified xsi:type="dcterms:W3CDTF">2021-06-15T03:04:50Z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17A084EB85B84592AF8E03DF6919C3FC</vt:lpwstr>
  </property>
</Properties>
</file>