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8CEC" w14:textId="77777777" w:rsidR="00E423E7" w:rsidRPr="00E423E7" w:rsidRDefault="00E423E7" w:rsidP="00E423E7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24"/>
        </w:rPr>
      </w:pPr>
      <w:r w:rsidRPr="00E423E7">
        <w:rPr>
          <w:rFonts w:ascii="黑体" w:eastAsia="黑体" w:hAnsi="黑体" w:cs="宋体" w:hint="eastAsia"/>
          <w:kern w:val="0"/>
          <w:sz w:val="32"/>
          <w:szCs w:val="24"/>
        </w:rPr>
        <w:t>附件4</w:t>
      </w:r>
    </w:p>
    <w:p w14:paraId="42FDF8C0" w14:textId="77777777" w:rsidR="00E423E7" w:rsidRPr="00E423E7" w:rsidRDefault="00E423E7" w:rsidP="00E423E7">
      <w:pPr>
        <w:widowControl/>
        <w:shd w:val="clear" w:color="auto" w:fill="FFFFFF"/>
        <w:spacing w:afterLines="50" w:after="156" w:line="560" w:lineRule="exact"/>
        <w:jc w:val="center"/>
        <w:rPr>
          <w:rFonts w:ascii="方正小标宋简体" w:eastAsia="方正小标宋简体" w:hAnsi="华文中宋" w:cs="仿宋_GB2312"/>
          <w:kern w:val="0"/>
          <w:sz w:val="36"/>
          <w:szCs w:val="36"/>
          <w:lang w:eastAsia="zh-Hans"/>
        </w:rPr>
      </w:pPr>
      <w:r w:rsidRPr="00E423E7">
        <w:rPr>
          <w:rFonts w:ascii="方正小标宋简体" w:eastAsia="方正小标宋简体" w:hAnsi="华文中宋" w:cs="仿宋_GB2312" w:hint="eastAsia"/>
          <w:kern w:val="0"/>
          <w:sz w:val="36"/>
          <w:szCs w:val="36"/>
          <w:lang w:eastAsia="zh-Hans"/>
        </w:rPr>
        <w:t>配电网典型工程案例征集方案</w:t>
      </w:r>
    </w:p>
    <w:p w14:paraId="243CAE60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bCs/>
          <w:kern w:val="0"/>
          <w:sz w:val="24"/>
          <w:szCs w:val="24"/>
        </w:rPr>
      </w:pPr>
      <w:r w:rsidRPr="00E423E7">
        <w:rPr>
          <w:rFonts w:ascii="黑体" w:eastAsia="黑体" w:hAnsi="黑体" w:cs="宋体" w:hint="eastAsia"/>
          <w:bCs/>
          <w:kern w:val="0"/>
          <w:sz w:val="24"/>
          <w:szCs w:val="24"/>
        </w:rPr>
        <w:t>一、征集时间</w:t>
      </w:r>
    </w:p>
    <w:p w14:paraId="46FA5D6F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投稿时间：即日起至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8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月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24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日</w:t>
      </w:r>
    </w:p>
    <w:p w14:paraId="0DDF4CE2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bCs/>
          <w:kern w:val="0"/>
          <w:sz w:val="24"/>
          <w:szCs w:val="24"/>
        </w:rPr>
      </w:pPr>
      <w:r w:rsidRPr="00E423E7">
        <w:rPr>
          <w:rFonts w:ascii="黑体" w:eastAsia="黑体" w:hAnsi="黑体" w:cs="宋体" w:hint="eastAsia"/>
          <w:bCs/>
          <w:kern w:val="0"/>
          <w:sz w:val="24"/>
          <w:szCs w:val="24"/>
        </w:rPr>
        <w:t>二、征集内容</w:t>
      </w:r>
    </w:p>
    <w:p w14:paraId="4A95409C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面向各单位征集在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实现</w:t>
      </w:r>
      <w:proofErr w:type="gramStart"/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双碳目标</w:t>
      </w:r>
      <w:proofErr w:type="gramEnd"/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和数字化转型方面做出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优秀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成绩的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配电网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典型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工程案例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，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包括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但不限于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加强供电可靠性，提升区域新能源消纳、强化配电网建设质量优化管控，数字化技术在配网中的应用等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内容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14:paraId="5ADC7796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案例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提交材料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包括以下几个方面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内容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</w:p>
    <w:p w14:paraId="56E4AA4E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（一）工程案例获得的奖项：包括公司内外各个等级的奖项和荣誉称号等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。</w:t>
      </w:r>
    </w:p>
    <w:p w14:paraId="1D6652FF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（二）工程案例现状</w:t>
      </w:r>
    </w:p>
    <w:p w14:paraId="798AC03F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1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.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配网建设规模</w:t>
      </w:r>
    </w:p>
    <w:p w14:paraId="5AFE3941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2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.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配网</w:t>
      </w:r>
      <w:proofErr w:type="gramStart"/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网</w:t>
      </w:r>
      <w:proofErr w:type="gramEnd"/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架结构和设备水平</w:t>
      </w:r>
    </w:p>
    <w:p w14:paraId="65E762EE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3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.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运</w:t>
      </w:r>
      <w:proofErr w:type="gramStart"/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维管理</w:t>
      </w:r>
      <w:proofErr w:type="gramEnd"/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状况</w:t>
      </w:r>
    </w:p>
    <w:p w14:paraId="78CB2903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4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.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配电网智能化状况</w:t>
      </w:r>
    </w:p>
    <w:p w14:paraId="24F14F27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（三）成效和经验，包括供电可靠性、新能源消纳占比等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。</w:t>
      </w:r>
    </w:p>
    <w:p w14:paraId="587656C5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/>
          <w:bCs/>
          <w:kern w:val="0"/>
          <w:sz w:val="24"/>
          <w:szCs w:val="24"/>
        </w:rPr>
      </w:pPr>
      <w:r w:rsidRPr="00E423E7">
        <w:rPr>
          <w:rFonts w:ascii="黑体" w:eastAsia="黑体" w:hAnsi="黑体" w:cs="宋体" w:hint="eastAsia"/>
          <w:bCs/>
          <w:kern w:val="0"/>
          <w:sz w:val="24"/>
          <w:szCs w:val="24"/>
        </w:rPr>
        <w:t>三、征集流程</w:t>
      </w:r>
    </w:p>
    <w:p w14:paraId="4EEBA7F8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（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一</w:t>
      </w:r>
      <w:r w:rsidRPr="00E423E7">
        <w:rPr>
          <w:rFonts w:ascii="仿宋" w:eastAsia="仿宋" w:hAnsi="仿宋" w:cs="宋体"/>
          <w:bCs/>
          <w:kern w:val="0"/>
          <w:sz w:val="24"/>
          <w:szCs w:val="24"/>
          <w:lang w:eastAsia="zh-Hans"/>
        </w:rPr>
        <w:t>）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申报：填写附件《配电网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典型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工程案例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征集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表》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，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案例须图文并貌，字数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不超过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3000字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，8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月</w:t>
      </w:r>
      <w:r w:rsidRPr="00E423E7">
        <w:rPr>
          <w:rFonts w:ascii="仿宋" w:eastAsia="仿宋" w:hAnsi="仿宋" w:cs="宋体"/>
          <w:bCs/>
          <w:kern w:val="0"/>
          <w:sz w:val="24"/>
          <w:szCs w:val="24"/>
          <w:lang w:eastAsia="zh-Hans"/>
        </w:rPr>
        <w:t>24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日前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发到</w:t>
      </w:r>
      <w:bookmarkStart w:id="0" w:name="_Hlk77608630"/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xxb</w:t>
      </w:r>
      <w:bookmarkEnd w:id="0"/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@eptc.org.cn邮箱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，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如有宣传视频可一并发送</w:t>
      </w:r>
      <w:r w:rsidRPr="00E423E7">
        <w:rPr>
          <w:rFonts w:ascii="仿宋" w:eastAsia="仿宋" w:hAnsi="仿宋" w:cs="宋体"/>
          <w:bCs/>
          <w:kern w:val="0"/>
          <w:sz w:val="24"/>
          <w:szCs w:val="24"/>
          <w:lang w:eastAsia="zh-Hans"/>
        </w:rPr>
        <w:t>，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视频文件分辨率1920*1080，宽高比16:9，格式mpg或mp4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。</w:t>
      </w:r>
    </w:p>
    <w:p w14:paraId="4197BE38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 w:hint="eastAsia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（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二</w:t>
      </w:r>
      <w:r w:rsidRPr="00E423E7">
        <w:rPr>
          <w:rFonts w:ascii="仿宋" w:eastAsia="仿宋" w:hAnsi="仿宋" w:cs="宋体"/>
          <w:bCs/>
          <w:kern w:val="0"/>
          <w:sz w:val="24"/>
          <w:szCs w:val="24"/>
          <w:lang w:eastAsia="zh-Hans"/>
        </w:rPr>
        <w:t>）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评审</w:t>
      </w:r>
      <w:r w:rsidRPr="00E423E7">
        <w:rPr>
          <w:rFonts w:ascii="仿宋" w:eastAsia="仿宋" w:hAnsi="仿宋" w:cs="宋体"/>
          <w:bCs/>
          <w:kern w:val="0"/>
          <w:sz w:val="24"/>
          <w:szCs w:val="24"/>
          <w:lang w:eastAsia="zh-Hans"/>
        </w:rPr>
        <w:t>：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论坛组委会将邀请专家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对申报案例进行评审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，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评审结果将在活动网页</w:t>
      </w:r>
      <w:r w:rsidRPr="00E423E7">
        <w:rPr>
          <w:rFonts w:ascii="仿宋" w:eastAsia="仿宋" w:hAnsi="仿宋" w:cs="宋体"/>
          <w:bCs/>
          <w:kern w:val="0"/>
          <w:sz w:val="24"/>
          <w:szCs w:val="24"/>
          <w:lang w:eastAsia="zh-Hans"/>
        </w:rPr>
        <w:t>、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中国智能配电与物联网创新联盟官方网站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及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EPTC微信公众号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公布</w:t>
      </w:r>
      <w:r w:rsidRPr="00E423E7">
        <w:rPr>
          <w:rFonts w:ascii="仿宋" w:eastAsia="仿宋" w:hAnsi="仿宋" w:cs="宋体"/>
          <w:bCs/>
          <w:kern w:val="0"/>
          <w:sz w:val="24"/>
          <w:szCs w:val="24"/>
          <w:lang w:eastAsia="zh-Hans"/>
        </w:rPr>
        <w:t>。</w:t>
      </w:r>
    </w:p>
    <w:p w14:paraId="75693E1C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</w:pP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（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三</w:t>
      </w:r>
      <w:r w:rsidRPr="00E423E7">
        <w:rPr>
          <w:rFonts w:ascii="仿宋" w:eastAsia="仿宋" w:hAnsi="仿宋" w:cs="宋体"/>
          <w:bCs/>
          <w:kern w:val="0"/>
          <w:sz w:val="24"/>
          <w:szCs w:val="24"/>
          <w:lang w:eastAsia="zh-Hans"/>
        </w:rPr>
        <w:t>）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推介</w:t>
      </w:r>
      <w:r w:rsidRPr="00E423E7">
        <w:rPr>
          <w:rFonts w:ascii="仿宋" w:eastAsia="仿宋" w:hAnsi="仿宋" w:cs="宋体"/>
          <w:bCs/>
          <w:kern w:val="0"/>
          <w:sz w:val="24"/>
          <w:szCs w:val="24"/>
          <w:lang w:eastAsia="zh-Hans"/>
        </w:rPr>
        <w:t>：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遴选出的“配电网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典型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工程案例”将以下列形式进行宣传和推介：</w:t>
      </w:r>
    </w:p>
    <w:p w14:paraId="6180BB38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1.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联合中国电力报等行业媒体对选出的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典型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案例进行宣传。</w:t>
      </w:r>
    </w:p>
    <w:p w14:paraId="229B47B6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/>
          <w:bCs/>
          <w:kern w:val="0"/>
          <w:sz w:val="24"/>
          <w:szCs w:val="24"/>
        </w:rPr>
        <w:lastRenderedPageBreak/>
        <w:t>2.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典型案例将通过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中国智能配电与物联网创新联盟官网、微信公众号</w:t>
      </w: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，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EPTC电力技术协作平台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官网及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微信公众号进行宣传和推介。</w:t>
      </w:r>
    </w:p>
    <w:p w14:paraId="3A1AC7F7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3.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遴选出的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典型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案例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入选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2021年（第五届）中国配电高峰论坛会刊。</w:t>
      </w:r>
    </w:p>
    <w:p w14:paraId="30762712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黑体" w:eastAsia="黑体" w:hAnsi="黑体" w:cs="宋体" w:hint="eastAsia"/>
          <w:bCs/>
          <w:kern w:val="0"/>
          <w:sz w:val="24"/>
          <w:szCs w:val="24"/>
          <w:lang w:eastAsia="zh-Hans"/>
        </w:rPr>
      </w:pPr>
      <w:r w:rsidRPr="00E423E7">
        <w:rPr>
          <w:rFonts w:ascii="仿宋" w:eastAsia="仿宋" w:hAnsi="仿宋" w:cs="宋体"/>
          <w:bCs/>
          <w:kern w:val="0"/>
          <w:sz w:val="24"/>
          <w:szCs w:val="24"/>
        </w:rPr>
        <w:t>4.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典型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案例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的宣传视频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将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在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EPTC电力技术协作平台“电力学堂”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推介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14:paraId="3FC5BD4C" w14:textId="77777777" w:rsidR="00E423E7" w:rsidRPr="00E423E7" w:rsidRDefault="00E423E7" w:rsidP="00E423E7">
      <w:pPr>
        <w:widowControl/>
        <w:spacing w:line="500" w:lineRule="exact"/>
        <w:ind w:firstLineChars="200" w:firstLine="480"/>
        <w:jc w:val="left"/>
        <w:rPr>
          <w:rFonts w:ascii="黑体" w:eastAsia="黑体" w:hAnsi="黑体" w:cs="黑体"/>
          <w:kern w:val="0"/>
          <w:sz w:val="24"/>
          <w:szCs w:val="24"/>
          <w:shd w:val="clear" w:color="auto" w:fill="FFFFFF"/>
          <w:lang w:eastAsia="zh-Hans" w:bidi="ar"/>
        </w:rPr>
      </w:pPr>
      <w:r w:rsidRPr="00E423E7">
        <w:rPr>
          <w:rFonts w:ascii="黑体" w:eastAsia="黑体" w:hAnsi="黑体" w:cs="宋体" w:hint="eastAsia"/>
          <w:bCs/>
          <w:kern w:val="0"/>
          <w:sz w:val="24"/>
          <w:szCs w:val="24"/>
          <w:lang w:eastAsia="zh-Hans"/>
        </w:rPr>
        <w:t>四</w:t>
      </w:r>
      <w:r w:rsidRPr="00E423E7">
        <w:rPr>
          <w:rFonts w:ascii="黑体" w:eastAsia="黑体" w:hAnsi="黑体" w:cs="宋体" w:hint="eastAsia"/>
          <w:bCs/>
          <w:kern w:val="0"/>
          <w:sz w:val="24"/>
          <w:szCs w:val="24"/>
        </w:rPr>
        <w:t>、</w:t>
      </w:r>
      <w:r w:rsidRPr="00E423E7">
        <w:rPr>
          <w:rFonts w:ascii="黑体" w:eastAsia="黑体" w:hAnsi="黑体" w:cs="黑体" w:hint="eastAsia"/>
          <w:kern w:val="0"/>
          <w:sz w:val="24"/>
          <w:szCs w:val="24"/>
          <w:shd w:val="clear" w:color="auto" w:fill="FFFFFF"/>
          <w:lang w:eastAsia="zh-Hans" w:bidi="ar"/>
        </w:rPr>
        <w:t>配电网典型工程案例征集表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4899"/>
      </w:tblGrid>
      <w:tr w:rsidR="00E423E7" w:rsidRPr="00E423E7" w14:paraId="41CD5883" w14:textId="77777777" w:rsidTr="00153BFF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FFBEBB2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  <w:t>项目名称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1E8DD266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</w:p>
        </w:tc>
      </w:tr>
      <w:tr w:rsidR="00E423E7" w:rsidRPr="00E423E7" w14:paraId="17ED0CFF" w14:textId="77777777" w:rsidTr="00153BFF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DC98209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  <w:t>完成单位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368E9B6A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</w:p>
        </w:tc>
      </w:tr>
      <w:tr w:rsidR="00E423E7" w:rsidRPr="00E423E7" w14:paraId="4D95E0E0" w14:textId="77777777" w:rsidTr="00153BFF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C186428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  <w:t>获得奖项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4EC74459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</w:p>
        </w:tc>
      </w:tr>
      <w:tr w:rsidR="00E423E7" w:rsidRPr="00E423E7" w14:paraId="0EB2FC3C" w14:textId="77777777" w:rsidTr="00153BFF">
        <w:trPr>
          <w:trHeight w:val="397"/>
          <w:jc w:val="center"/>
        </w:trPr>
        <w:tc>
          <w:tcPr>
            <w:tcW w:w="8296" w:type="dxa"/>
            <w:gridSpan w:val="2"/>
            <w:shd w:val="clear" w:color="auto" w:fill="auto"/>
            <w:vAlign w:val="center"/>
          </w:tcPr>
          <w:p w14:paraId="09E0C35A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bidi="ar"/>
              </w:rPr>
            </w:pP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  <w:t>工程案例现状（</w:t>
            </w:r>
            <w:r w:rsidRPr="00E423E7">
              <w:rPr>
                <w:rFonts w:ascii="仿宋" w:eastAsia="仿宋" w:hAnsi="仿宋" w:cs="宋体"/>
                <w:color w:val="333333"/>
                <w:kern w:val="0"/>
                <w:sz w:val="22"/>
                <w:shd w:val="clear" w:color="auto" w:fill="FFFFFF"/>
                <w:lang w:bidi="ar"/>
              </w:rPr>
              <w:t>800</w:t>
            </w: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bidi="ar"/>
              </w:rPr>
              <w:t>字）</w:t>
            </w:r>
          </w:p>
        </w:tc>
      </w:tr>
      <w:tr w:rsidR="00E423E7" w:rsidRPr="00E423E7" w14:paraId="150501DC" w14:textId="77777777" w:rsidTr="00153BFF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383478B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  <w:t>建设规模、网架结构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5E5C4662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</w:p>
        </w:tc>
      </w:tr>
      <w:tr w:rsidR="00E423E7" w:rsidRPr="00E423E7" w14:paraId="2928E4FE" w14:textId="77777777" w:rsidTr="00153BFF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C2509BE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  <w:t>智能化水平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33F3C066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</w:p>
        </w:tc>
      </w:tr>
      <w:tr w:rsidR="00E423E7" w:rsidRPr="00E423E7" w14:paraId="305457C0" w14:textId="77777777" w:rsidTr="00153BFF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0E5B93F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  <w:t>供电可靠性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2800589D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</w:p>
        </w:tc>
      </w:tr>
      <w:tr w:rsidR="00E423E7" w:rsidRPr="00E423E7" w14:paraId="46AB8064" w14:textId="77777777" w:rsidTr="00153BFF">
        <w:trPr>
          <w:trHeight w:val="397"/>
          <w:jc w:val="center"/>
        </w:trPr>
        <w:tc>
          <w:tcPr>
            <w:tcW w:w="8296" w:type="dxa"/>
            <w:gridSpan w:val="2"/>
            <w:shd w:val="clear" w:color="auto" w:fill="auto"/>
            <w:vAlign w:val="center"/>
          </w:tcPr>
          <w:p w14:paraId="2EB73CFD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  <w:t>成效及经验（</w:t>
            </w: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bidi="ar"/>
              </w:rPr>
              <w:t>1</w:t>
            </w:r>
            <w:r w:rsidRPr="00E423E7">
              <w:rPr>
                <w:rFonts w:ascii="仿宋" w:eastAsia="仿宋" w:hAnsi="仿宋" w:cs="宋体"/>
                <w:color w:val="333333"/>
                <w:kern w:val="0"/>
                <w:sz w:val="22"/>
                <w:shd w:val="clear" w:color="auto" w:fill="FFFFFF"/>
                <w:lang w:bidi="ar"/>
              </w:rPr>
              <w:t>500</w:t>
            </w: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bidi="ar"/>
              </w:rPr>
              <w:t>字）</w:t>
            </w:r>
          </w:p>
        </w:tc>
      </w:tr>
      <w:tr w:rsidR="00E423E7" w:rsidRPr="00E423E7" w14:paraId="16F8D0C9" w14:textId="77777777" w:rsidTr="00153BFF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C6944EF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  <w:t>数字化技术应用及成效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2D865F0A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</w:p>
        </w:tc>
      </w:tr>
      <w:tr w:rsidR="00E423E7" w:rsidRPr="00E423E7" w14:paraId="16823256" w14:textId="77777777" w:rsidTr="00153BFF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26E73CD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  <w:t>绿色低碳（清洁能源占比）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425D75EF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</w:p>
        </w:tc>
      </w:tr>
      <w:tr w:rsidR="00E423E7" w:rsidRPr="00E423E7" w14:paraId="137AC7F8" w14:textId="77777777" w:rsidTr="00153BFF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BD1BEEC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  <w:t>智能互联（配电自动化率、充电桩覆盖率等）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5896279E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</w:p>
        </w:tc>
      </w:tr>
      <w:tr w:rsidR="00E423E7" w:rsidRPr="00E423E7" w14:paraId="138C3999" w14:textId="77777777" w:rsidTr="00153BFF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8563A53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  <w:t>工程为当地经济或产业带来的实际效益（政府、企业或百姓的评价等）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4F087C0F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</w:p>
        </w:tc>
      </w:tr>
      <w:tr w:rsidR="00E423E7" w:rsidRPr="00E423E7" w14:paraId="66D2ACFE" w14:textId="77777777" w:rsidTr="00153BFF">
        <w:trPr>
          <w:trHeight w:val="39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58A5683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  <w:r w:rsidRPr="00E423E7"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  <w:t>可供推广的经验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27258E59" w14:textId="77777777" w:rsidR="00E423E7" w:rsidRPr="00E423E7" w:rsidRDefault="00E423E7" w:rsidP="00E423E7">
            <w:pPr>
              <w:widowControl/>
              <w:rPr>
                <w:rFonts w:ascii="仿宋" w:eastAsia="仿宋" w:hAnsi="仿宋" w:cs="宋体" w:hint="eastAsia"/>
                <w:color w:val="333333"/>
                <w:kern w:val="0"/>
                <w:sz w:val="22"/>
                <w:shd w:val="clear" w:color="auto" w:fill="FFFFFF"/>
                <w:lang w:eastAsia="zh-Hans" w:bidi="ar"/>
              </w:rPr>
            </w:pPr>
          </w:p>
        </w:tc>
      </w:tr>
    </w:tbl>
    <w:p w14:paraId="3B43831C" w14:textId="77777777" w:rsidR="00E423E7" w:rsidRPr="00E423E7" w:rsidRDefault="00E423E7" w:rsidP="00E423E7">
      <w:pPr>
        <w:widowControl/>
        <w:shd w:val="clear" w:color="auto" w:fill="FFFFFF"/>
        <w:spacing w:line="500" w:lineRule="exact"/>
        <w:ind w:firstLineChars="100" w:firstLine="240"/>
        <w:jc w:val="lef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>注：</w:t>
      </w:r>
      <w:r w:rsidRPr="00E423E7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1</w:t>
      </w:r>
      <w:r w:rsidRPr="00E423E7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.</w:t>
      </w:r>
      <w:r w:rsidRPr="00E423E7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电子照片和证书另附。</w:t>
      </w:r>
    </w:p>
    <w:p w14:paraId="2809A629" w14:textId="77777777" w:rsidR="00E423E7" w:rsidRPr="00E423E7" w:rsidRDefault="00E423E7" w:rsidP="00E423E7">
      <w:pPr>
        <w:widowControl/>
        <w:shd w:val="clear" w:color="auto" w:fill="FFFFFF"/>
        <w:spacing w:line="500" w:lineRule="exact"/>
        <w:ind w:firstLineChars="300" w:firstLine="720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  <w:lang w:eastAsia="zh-Hans"/>
        </w:rPr>
      </w:pPr>
      <w:r w:rsidRPr="00E423E7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2</w:t>
      </w:r>
      <w:r w:rsidRPr="00E423E7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.</w:t>
      </w:r>
      <w:r w:rsidRPr="00E423E7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联系人：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  <w:lang w:eastAsia="zh-Hans"/>
        </w:rPr>
        <w:t>王粒瑾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 xml:space="preserve">  </w:t>
      </w:r>
      <w:r w:rsidRPr="00E423E7">
        <w:rPr>
          <w:rFonts w:ascii="仿宋" w:eastAsia="仿宋" w:hAnsi="仿宋" w:cs="宋体"/>
          <w:bCs/>
          <w:kern w:val="0"/>
          <w:sz w:val="24"/>
          <w:szCs w:val="24"/>
          <w:lang w:eastAsia="zh-Hans"/>
        </w:rPr>
        <w:t>18519050548</w:t>
      </w:r>
      <w:r w:rsidRPr="00E423E7">
        <w:rPr>
          <w:rFonts w:ascii="仿宋" w:eastAsia="仿宋" w:hAnsi="仿宋" w:cs="宋体" w:hint="eastAsia"/>
          <w:bCs/>
          <w:kern w:val="0"/>
          <w:sz w:val="24"/>
          <w:szCs w:val="24"/>
        </w:rPr>
        <w:t xml:space="preserve">  </w:t>
      </w:r>
      <w:hyperlink r:id="rId6" w:history="1">
        <w:r w:rsidRPr="00E423E7">
          <w:rPr>
            <w:rFonts w:ascii="仿宋" w:eastAsia="仿宋" w:hAnsi="仿宋" w:cs="宋体"/>
            <w:bCs/>
            <w:color w:val="404145"/>
            <w:kern w:val="0"/>
            <w:sz w:val="24"/>
            <w:szCs w:val="24"/>
            <w:lang w:eastAsia="zh-Hans"/>
          </w:rPr>
          <w:t>xxb@eptc.org.cn</w:t>
        </w:r>
      </w:hyperlink>
    </w:p>
    <w:p w14:paraId="15383655" w14:textId="77777777" w:rsidR="00E423E7" w:rsidRPr="00E423E7" w:rsidRDefault="00E423E7" w:rsidP="00E423E7">
      <w:pPr>
        <w:widowControl/>
        <w:shd w:val="clear" w:color="auto" w:fill="FFFFFF"/>
        <w:spacing w:line="500" w:lineRule="exact"/>
        <w:ind w:firstLineChars="300" w:firstLine="720"/>
        <w:jc w:val="lef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</w:pPr>
      <w:r w:rsidRPr="00E423E7">
        <w:rPr>
          <w:rFonts w:ascii="仿宋" w:eastAsia="仿宋" w:hAnsi="仿宋" w:cs="宋体"/>
          <w:bCs/>
          <w:color w:val="000000"/>
          <w:kern w:val="0"/>
          <w:sz w:val="24"/>
          <w:szCs w:val="24"/>
          <w:lang w:eastAsia="zh-Hans"/>
        </w:rPr>
        <w:t>3</w:t>
      </w:r>
      <w:r w:rsidRPr="00E423E7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.邮件主题请注明</w:t>
      </w:r>
      <w:r w:rsidRPr="00E423E7">
        <w:rPr>
          <w:rFonts w:ascii="仿宋" w:eastAsia="仿宋" w:hAnsi="仿宋" w:cs="宋体"/>
          <w:bCs/>
          <w:color w:val="000000"/>
          <w:kern w:val="0"/>
          <w:sz w:val="24"/>
          <w:szCs w:val="24"/>
          <w:lang w:eastAsia="zh-Hans"/>
        </w:rPr>
        <w:t>：</w:t>
      </w:r>
      <w:r w:rsidRPr="00E423E7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  <w:lang w:eastAsia="zh-Hans"/>
        </w:rPr>
        <w:t>“配网典型案例+申报单位”。</w:t>
      </w:r>
    </w:p>
    <w:p w14:paraId="288920A4" w14:textId="77777777" w:rsidR="00E423E7" w:rsidRPr="00E423E7" w:rsidRDefault="00E423E7" w:rsidP="00E423E7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bCs/>
          <w:color w:val="000000"/>
          <w:kern w:val="0"/>
          <w:sz w:val="24"/>
          <w:szCs w:val="24"/>
          <w:lang w:eastAsia="zh-Hans"/>
        </w:rPr>
      </w:pPr>
    </w:p>
    <w:p w14:paraId="1EA1E40C" w14:textId="77777777" w:rsidR="00B026B9" w:rsidRPr="00E423E7" w:rsidRDefault="00B026B9"/>
    <w:sectPr w:rsidR="00B026B9" w:rsidRPr="00E42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9515" w14:textId="77777777" w:rsidR="00EB3B76" w:rsidRDefault="00EB3B76" w:rsidP="00E423E7">
      <w:r>
        <w:separator/>
      </w:r>
    </w:p>
  </w:endnote>
  <w:endnote w:type="continuationSeparator" w:id="0">
    <w:p w14:paraId="41310068" w14:textId="77777777" w:rsidR="00EB3B76" w:rsidRDefault="00EB3B76" w:rsidP="00E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381F" w14:textId="77777777" w:rsidR="00EB3B76" w:rsidRDefault="00EB3B76" w:rsidP="00E423E7">
      <w:r>
        <w:separator/>
      </w:r>
    </w:p>
  </w:footnote>
  <w:footnote w:type="continuationSeparator" w:id="0">
    <w:p w14:paraId="3C579B49" w14:textId="77777777" w:rsidR="00EB3B76" w:rsidRDefault="00EB3B76" w:rsidP="00E42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36"/>
    <w:rsid w:val="0001754D"/>
    <w:rsid w:val="00024D6D"/>
    <w:rsid w:val="000701F5"/>
    <w:rsid w:val="000722AC"/>
    <w:rsid w:val="0008517D"/>
    <w:rsid w:val="000A01AD"/>
    <w:rsid w:val="000C5265"/>
    <w:rsid w:val="000D1400"/>
    <w:rsid w:val="000E0717"/>
    <w:rsid w:val="001203AF"/>
    <w:rsid w:val="0013545A"/>
    <w:rsid w:val="001415C7"/>
    <w:rsid w:val="00145310"/>
    <w:rsid w:val="00173E6B"/>
    <w:rsid w:val="00187D43"/>
    <w:rsid w:val="001A4B43"/>
    <w:rsid w:val="001B4A3D"/>
    <w:rsid w:val="001D3C8E"/>
    <w:rsid w:val="001E2D66"/>
    <w:rsid w:val="0020670C"/>
    <w:rsid w:val="002127EA"/>
    <w:rsid w:val="002365D9"/>
    <w:rsid w:val="00247D74"/>
    <w:rsid w:val="002D4B04"/>
    <w:rsid w:val="00375D56"/>
    <w:rsid w:val="003A4D49"/>
    <w:rsid w:val="003E60F7"/>
    <w:rsid w:val="003F7C6A"/>
    <w:rsid w:val="00401BE0"/>
    <w:rsid w:val="00435ACB"/>
    <w:rsid w:val="00436E81"/>
    <w:rsid w:val="0044780A"/>
    <w:rsid w:val="00462138"/>
    <w:rsid w:val="0048586E"/>
    <w:rsid w:val="0048762D"/>
    <w:rsid w:val="004909CD"/>
    <w:rsid w:val="004F51CC"/>
    <w:rsid w:val="00556D23"/>
    <w:rsid w:val="005604D9"/>
    <w:rsid w:val="005C397C"/>
    <w:rsid w:val="005F5B56"/>
    <w:rsid w:val="006749F7"/>
    <w:rsid w:val="006C219A"/>
    <w:rsid w:val="00701A9A"/>
    <w:rsid w:val="00725FA8"/>
    <w:rsid w:val="007476EB"/>
    <w:rsid w:val="00750C4B"/>
    <w:rsid w:val="00773705"/>
    <w:rsid w:val="007D762E"/>
    <w:rsid w:val="007F0BA4"/>
    <w:rsid w:val="007F0FA4"/>
    <w:rsid w:val="008115BB"/>
    <w:rsid w:val="0082173F"/>
    <w:rsid w:val="00856D05"/>
    <w:rsid w:val="00880760"/>
    <w:rsid w:val="0089051E"/>
    <w:rsid w:val="008C6317"/>
    <w:rsid w:val="008E026D"/>
    <w:rsid w:val="00916489"/>
    <w:rsid w:val="00935E3D"/>
    <w:rsid w:val="009605C0"/>
    <w:rsid w:val="00A216C2"/>
    <w:rsid w:val="00A25309"/>
    <w:rsid w:val="00A959D4"/>
    <w:rsid w:val="00AA64B4"/>
    <w:rsid w:val="00B026B9"/>
    <w:rsid w:val="00B31472"/>
    <w:rsid w:val="00B35C7C"/>
    <w:rsid w:val="00B53FB4"/>
    <w:rsid w:val="00B54436"/>
    <w:rsid w:val="00B563AD"/>
    <w:rsid w:val="00BC57BE"/>
    <w:rsid w:val="00BC605C"/>
    <w:rsid w:val="00BE2192"/>
    <w:rsid w:val="00BF6320"/>
    <w:rsid w:val="00C165F6"/>
    <w:rsid w:val="00C96826"/>
    <w:rsid w:val="00CB7333"/>
    <w:rsid w:val="00CE2BB8"/>
    <w:rsid w:val="00D1086B"/>
    <w:rsid w:val="00D111CF"/>
    <w:rsid w:val="00D15F7E"/>
    <w:rsid w:val="00D35D58"/>
    <w:rsid w:val="00D61C86"/>
    <w:rsid w:val="00D9351E"/>
    <w:rsid w:val="00E03DA2"/>
    <w:rsid w:val="00E1531F"/>
    <w:rsid w:val="00E216B1"/>
    <w:rsid w:val="00E423E7"/>
    <w:rsid w:val="00E471FE"/>
    <w:rsid w:val="00E50111"/>
    <w:rsid w:val="00E97B83"/>
    <w:rsid w:val="00EB3B76"/>
    <w:rsid w:val="00ED04E9"/>
    <w:rsid w:val="00ED4870"/>
    <w:rsid w:val="00ED63FA"/>
    <w:rsid w:val="00F12463"/>
    <w:rsid w:val="00F14745"/>
    <w:rsid w:val="00F41A73"/>
    <w:rsid w:val="00F56D25"/>
    <w:rsid w:val="00F647A6"/>
    <w:rsid w:val="00FB08A6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520F69-19E8-41E1-8928-9B933709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23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2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2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b@ept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2021-08-09T03:38:00Z</dcterms:created>
  <dcterms:modified xsi:type="dcterms:W3CDTF">2021-08-09T03:38:00Z</dcterms:modified>
</cp:coreProperties>
</file>